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靖 江 市 政 府 采 购</w:t>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招 标 文 件</w:t>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tabs>
          <w:tab w:val="left" w:pos="9921" w:leader="none"/>
        </w:tabs>
        <w:rPr>
          <w:rFonts w:ascii="宋体" w:hAnsi="宋体"/>
          <w:bCs/>
          <w:sz w:val="30"/>
        </w:rPr>
        <w:outlineLvl w:val="0"/>
      </w:pPr>
      <w:r>
        <w:rPr>
          <w:rFonts w:hint="eastAsia" w:ascii="宋体" w:hAnsi="宋体"/>
          <w:bCs/>
          <w:sz w:val="30"/>
        </w:rPr>
        <w:t xml:space="preserve">（全流程电子化不见面开标）</w:t>
      </w:r>
      <w:r/>
    </w:p>
    <w:p>
      <w:pPr>
        <w:jc w:val="center"/>
        <w:rPr>
          <w:rFonts w:eastAsia="黑体"/>
          <w:b/>
          <w:sz w:val="32"/>
        </w:rPr>
      </w:pPr>
      <w:r>
        <w:rPr>
          <w:rFonts w:eastAsia="黑体"/>
          <w:b/>
          <w:sz w:val="32"/>
        </w:rPr>
      </w:r>
      <w:r/>
    </w:p>
    <w:p>
      <w:pPr>
        <w:jc w:val="center"/>
        <w:rPr>
          <w:rFonts w:ascii="宋体"/>
          <w:b/>
          <w:sz w:val="36"/>
        </w:rPr>
        <w:outlineLvl w:val="0"/>
      </w:pPr>
      <w:r>
        <w:rPr>
          <w:rFonts w:hint="eastAsia" w:ascii="宋体"/>
          <w:b/>
          <w:sz w:val="36"/>
        </w:rPr>
        <w:t xml:space="preserve">项目编号：JSZC-321282-JZCG-G2025-0029</w:t>
      </w:r>
      <w:r/>
    </w:p>
    <w:p>
      <w:pPr>
        <w:jc w:val="center"/>
        <w:rPr>
          <w:rFonts w:ascii="宋体" w:hAnsi="宋体" w:cs="宋体"/>
          <w:b/>
          <w:sz w:val="36"/>
          <w:szCs w:val="36"/>
        </w:rPr>
        <w:outlineLvl w:val="0"/>
      </w:pPr>
      <w:r>
        <w:rPr>
          <w:rFonts w:hint="eastAsia" w:ascii="宋体"/>
          <w:b/>
          <w:sz w:val="36"/>
          <w:szCs w:val="36"/>
        </w:rPr>
        <w:t xml:space="preserve">项</w:t>
      </w:r>
      <w:r>
        <w:rPr>
          <w:rFonts w:hint="eastAsia" w:ascii="宋体" w:hAnsi="宋体" w:cs="宋体"/>
          <w:b/>
          <w:sz w:val="36"/>
          <w:szCs w:val="36"/>
        </w:rPr>
        <w:t xml:space="preserve">目名称：行政中心物业服务（含联检大楼保洁、绿化养护）</w:t>
      </w:r>
      <w:r/>
    </w:p>
    <w:p>
      <w:pPr>
        <w:rPr>
          <w:rFonts w:ascii="宋体"/>
          <w:b/>
          <w:sz w:val="30"/>
          <w:szCs w:val="30"/>
        </w:rPr>
      </w:pPr>
      <w:r>
        <w:rPr>
          <w:rFonts w:ascii="宋体"/>
          <w:b/>
          <w:sz w:val="30"/>
          <w:szCs w:val="30"/>
        </w:rPr>
      </w:r>
      <w:r/>
    </w:p>
    <w:p>
      <w:pPr>
        <w:ind w:firstLine="2244"/>
        <w:rPr>
          <w:rFonts w:ascii="宋体"/>
          <w:b/>
          <w:sz w:val="30"/>
          <w:szCs w:val="30"/>
        </w:rPr>
      </w:pPr>
      <w:r>
        <w:rPr>
          <w:rFonts w:ascii="宋体"/>
          <w:b/>
          <w:sz w:val="30"/>
          <w:szCs w:val="30"/>
        </w:rPr>
      </w:r>
      <w:r/>
    </w:p>
    <w:p>
      <w:pPr>
        <w:ind w:firstLine="2393"/>
        <w:rPr>
          <w:rFonts w:ascii="宋体"/>
          <w:b/>
          <w:sz w:val="32"/>
        </w:rPr>
      </w:pPr>
      <w:r>
        <w:rPr>
          <w:rFonts w:ascii="宋体"/>
          <w:b/>
          <w:sz w:val="32"/>
        </w:rPr>
      </w:r>
      <w:r/>
    </w:p>
    <w:p>
      <w:pPr>
        <w:rPr>
          <w:rFonts w:ascii="宋体"/>
          <w:b/>
          <w:sz w:val="32"/>
        </w:rPr>
      </w:pPr>
      <w:r>
        <w:rPr>
          <w:rFonts w:ascii="宋体"/>
          <w:b/>
          <w:sz w:val="32"/>
        </w:rPr>
      </w:r>
      <w:r/>
    </w:p>
    <w:p>
      <w:pPr>
        <w:pStyle w:val="775"/>
        <w:rPr>
          <w:b/>
          <w:sz w:val="32"/>
        </w:rPr>
      </w:pPr>
      <w:r>
        <w:rPr>
          <w:b/>
          <w:sz w:val="32"/>
        </w:rPr>
      </w:r>
      <w:r/>
    </w:p>
    <w:p>
      <w:pPr>
        <w:pStyle w:val="775"/>
        <w:rPr>
          <w:b/>
          <w:sz w:val="32"/>
        </w:rPr>
      </w:pPr>
      <w:r>
        <w:rPr>
          <w:b/>
          <w:sz w:val="32"/>
        </w:rPr>
      </w:r>
      <w:r/>
    </w:p>
    <w:p>
      <w:pPr>
        <w:pStyle w:val="775"/>
        <w:rPr>
          <w:b/>
          <w:sz w:val="32"/>
        </w:rPr>
      </w:pPr>
      <w:r>
        <w:rPr>
          <w:b/>
          <w:sz w:val="32"/>
        </w:rPr>
      </w:r>
      <w:r/>
    </w:p>
    <w:p>
      <w:pPr>
        <w:pStyle w:val="775"/>
        <w:rPr>
          <w:b/>
          <w:sz w:val="32"/>
        </w:rPr>
      </w:pPr>
      <w:r>
        <w:rPr>
          <w:b/>
          <w:sz w:val="32"/>
        </w:rPr>
      </w:r>
      <w:r/>
    </w:p>
    <w:p>
      <w:pPr>
        <w:pStyle w:val="775"/>
        <w:rPr>
          <w:b/>
          <w:sz w:val="32"/>
        </w:rPr>
      </w:pPr>
      <w:r>
        <w:rPr>
          <w:b/>
          <w:sz w:val="32"/>
        </w:rPr>
      </w:r>
      <w:r/>
    </w:p>
    <w:p>
      <w:pPr>
        <w:pStyle w:val="775"/>
        <w:rPr>
          <w:b/>
          <w:sz w:val="32"/>
        </w:rPr>
      </w:pPr>
      <w:r>
        <w:rPr>
          <w:b/>
          <w:sz w:val="32"/>
        </w:rPr>
      </w:r>
      <w:r/>
    </w:p>
    <w:p>
      <w:pPr>
        <w:jc w:val="center"/>
        <w:rPr>
          <w:rFonts w:ascii="宋体"/>
          <w:b/>
          <w:sz w:val="32"/>
        </w:rPr>
      </w:pPr>
      <w:r>
        <w:rPr>
          <w:rFonts w:ascii="宋体"/>
          <w:b/>
          <w:sz w:val="32"/>
        </w:rPr>
      </w:r>
      <w:r/>
    </w:p>
    <w:p>
      <w:pPr>
        <w:jc w:val="center"/>
        <w:rPr>
          <w:rFonts w:ascii="宋体"/>
          <w:b/>
          <w:sz w:val="36"/>
          <w:szCs w:val="36"/>
        </w:rPr>
        <w:outlineLvl w:val="0"/>
      </w:pPr>
      <w:r>
        <w:rPr>
          <w:rFonts w:hint="eastAsia" w:ascii="宋体"/>
          <w:b/>
          <w:sz w:val="36"/>
          <w:szCs w:val="36"/>
        </w:rPr>
        <w:t xml:space="preserve">靖江市公共资源交易中心</w:t>
      </w:r>
      <w:r/>
    </w:p>
    <w:p>
      <w:pPr>
        <w:jc w:val="center"/>
        <w:outlineLvl w:val="0"/>
      </w:pPr>
      <w:r>
        <w:rPr>
          <w:rFonts w:hint="eastAsia" w:ascii="黑体" w:eastAsia="黑体"/>
          <w:sz w:val="36"/>
          <w:szCs w:val="36"/>
        </w:rPr>
        <w:t xml:space="preserve">2025年12月 </w:t>
      </w:r>
      <w:r/>
    </w:p>
    <w:p>
      <w:r/>
      <w:r/>
    </w:p>
    <w:p>
      <w:pPr>
        <w:jc w:val="center"/>
        <w:spacing w:line="480" w:lineRule="auto"/>
        <w:rPr>
          <w:rFonts w:ascii="黑体" w:hAnsi="Arial" w:eastAsia="黑体"/>
          <w:b/>
          <w:sz w:val="44"/>
        </w:rPr>
      </w:pPr>
      <w:r>
        <w:rPr>
          <w:rFonts w:ascii="黑体" w:hAnsi="Arial" w:eastAsia="黑体"/>
          <w:b/>
          <w:sz w:val="44"/>
        </w:rPr>
      </w:r>
      <w:r/>
    </w:p>
    <w:p>
      <w:pPr>
        <w:jc w:val="center"/>
        <w:rPr>
          <w:sz w:val="32"/>
          <w:szCs w:val="32"/>
        </w:rPr>
        <w:sectPr>
          <w:footnotePr/>
          <w:endnotePr/>
          <w:type w:val="nextPage"/>
          <w:pgSz w:w="11906" w:h="16838" w:orient="portrait"/>
          <w:pgMar w:top="1440" w:right="1800" w:bottom="1440" w:left="1800" w:header="851" w:footer="992" w:gutter="0"/>
          <w:cols w:num="1" w:sep="0" w:space="720" w:equalWidth="1"/>
          <w:docGrid w:linePitch="360"/>
        </w:sectPr>
        <w:outlineLvl w:val="0"/>
      </w:pPr>
      <w:r>
        <w:rPr>
          <w:sz w:val="32"/>
          <w:szCs w:val="32"/>
        </w:rPr>
      </w:r>
      <w:r/>
    </w:p>
    <w:p>
      <w:pPr>
        <w:jc w:val="center"/>
        <w:rPr>
          <w:sz w:val="32"/>
          <w:szCs w:val="32"/>
        </w:rPr>
        <w:outlineLvl w:val="0"/>
      </w:pPr>
      <w:r>
        <w:rPr>
          <w:rFonts w:hint="eastAsia"/>
          <w:sz w:val="32"/>
          <w:szCs w:val="32"/>
        </w:rPr>
        <w:t xml:space="preserve">关于政府采购线上合同信用融资功能告知提醒</w:t>
      </w:r>
      <w:r/>
    </w:p>
    <w:p>
      <w:pPr>
        <w:pStyle w:val="775"/>
      </w:pPr>
      <w:r/>
      <w:r/>
    </w:p>
    <w:p>
      <w:pPr>
        <w:rPr>
          <w:rFonts w:ascii="宋体" w:hAnsi="宋体" w:cs="宋体"/>
          <w:b/>
          <w:bCs/>
          <w:spacing w:val="-3"/>
          <w:sz w:val="22"/>
        </w:rPr>
      </w:pPr>
      <w:r>
        <w:rPr>
          <w:rFonts w:hint="eastAsia" w:ascii="宋体" w:hAnsi="宋体" w:cs="宋体"/>
          <w:b/>
          <w:bCs/>
          <w:sz w:val="22"/>
        </w:rPr>
        <w:t xml:space="preserve">一、政府采购线上合同信用融资功能告知提醒</w:t>
      </w:r>
      <w:r/>
    </w:p>
    <w:p>
      <w:pPr>
        <w:pStyle w:val="957"/>
        <w:ind w:firstLine="440"/>
        <w:jc w:val="both"/>
        <w:rPr>
          <w:sz w:val="22"/>
          <w:szCs w:val="22"/>
        </w:rPr>
      </w:pPr>
      <w:r>
        <w:rPr>
          <w:rFonts w:hint="eastAsia"/>
          <w:sz w:val="22"/>
          <w:szCs w:val="22"/>
        </w:rPr>
        <w:t xml:space="preserve">今年我市已正式启用“苏采云”系统，目前已全面开通政府采购线上合同信用融资（以下简称“政采贷”）功能。成交供应商可凭政府采购合同在中征平台发起贷款申请贷款。</w:t>
      </w:r>
      <w:r/>
    </w:p>
    <w:p>
      <w:pPr>
        <w:pStyle w:val="957"/>
        <w:ind w:firstLine="442"/>
        <w:jc w:val="both"/>
        <w:rPr>
          <w:b/>
          <w:bCs/>
          <w:sz w:val="22"/>
          <w:szCs w:val="22"/>
        </w:rPr>
      </w:pPr>
      <w:r>
        <w:rPr>
          <w:rFonts w:hint="eastAsia"/>
          <w:b/>
          <w:bCs/>
          <w:sz w:val="22"/>
          <w:szCs w:val="22"/>
        </w:rPr>
        <w:t xml:space="preserve">1.“政采贷”业务流程</w:t>
      </w:r>
      <w:r/>
    </w:p>
    <w:p>
      <w:pPr>
        <w:pStyle w:val="957"/>
        <w:jc w:val="both"/>
        <w:rPr>
          <w:sz w:val="22"/>
          <w:szCs w:val="22"/>
        </w:rPr>
      </w:pPr>
      <w:r>
        <w:rPr>
          <w:sz w:val="22"/>
          <w:szCs w:val="22"/>
        </w:rPr>
        <mc:AlternateContent>
          <mc:Choice Requires="wpg">
            <w:drawing>
              <wp:inline xmlns:wp="http://schemas.openxmlformats.org/drawingml/2006/wordprocessingDrawing" distT="0" distB="0" distL="0" distR="0">
                <wp:extent cx="5267325" cy="1550670"/>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5267909" cy="1550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1pt;mso-wrap-distance-left:0.0pt;mso-wrap-distance-top:0.0pt;mso-wrap-distance-right:0.0pt;mso-wrap-distance-bottom:0.0pt;" stroked="f">
                <v:path textboxrect="0,0,0,0"/>
                <v:imagedata r:id="rId13" o:title=""/>
              </v:shape>
            </w:pict>
          </mc:Fallback>
        </mc:AlternateContent>
      </w:r>
      <w:r/>
    </w:p>
    <w:p>
      <w:pPr>
        <w:pStyle w:val="957"/>
        <w:ind w:left="640"/>
        <w:jc w:val="both"/>
        <w:rPr>
          <w:b/>
          <w:bCs/>
          <w:sz w:val="22"/>
          <w:szCs w:val="22"/>
        </w:rPr>
      </w:pPr>
      <w:r>
        <w:rPr>
          <w:rFonts w:hint="eastAsia"/>
          <w:b/>
          <w:bCs/>
          <w:sz w:val="22"/>
          <w:szCs w:val="22"/>
        </w:rPr>
        <w:t xml:space="preserve">2.常见问题</w:t>
      </w:r>
      <w:r/>
    </w:p>
    <w:p>
      <w:r>
        <w:t xml:space="preserve">Q1</w:t>
      </w:r>
      <w:r>
        <w:rPr>
          <w:rFonts w:hint="eastAsia"/>
        </w:rPr>
        <w:t xml:space="preserve">：哪些企业能申请“政采贷”？</w:t>
      </w:r>
      <w:r/>
    </w:p>
    <w:p>
      <w:r>
        <w:rPr>
          <w:rFonts w:hint="eastAsia"/>
        </w:rPr>
        <w:t xml:space="preserve">答：江苏省内采用国库集中支付的政府采购项目的中标供应商，可凭政府采购合同申请</w:t>
      </w:r>
      <w:r>
        <w:t xml:space="preserve">"</w:t>
      </w:r>
      <w:r>
        <w:rPr>
          <w:rFonts w:hint="eastAsia"/>
        </w:rPr>
        <w:t xml:space="preserve">政采贷</w:t>
      </w:r>
      <w:r>
        <w:t xml:space="preserve">"</w:t>
      </w:r>
      <w:r>
        <w:rPr>
          <w:rFonts w:hint="eastAsia"/>
        </w:rPr>
        <w:t xml:space="preserve">。</w:t>
      </w:r>
      <w:r/>
    </w:p>
    <w:p>
      <w:r>
        <w:t xml:space="preserve">Q2</w:t>
      </w:r>
      <w:r>
        <w:rPr>
          <w:rFonts w:hint="eastAsia"/>
        </w:rPr>
        <w:t xml:space="preserve">：供应商在哪里申请“政采贷”？</w:t>
      </w:r>
      <w:r/>
    </w:p>
    <w:p>
      <w:r>
        <w:rPr>
          <w:rFonts w:hint="eastAsia"/>
        </w:rPr>
        <w:t xml:space="preserve">答：中标供应商在“中征应收账款融资服务平台”（简称“中征平台”）上向意向银行发起融资申请</w:t>
      </w:r>
      <w:r/>
    </w:p>
    <w:p>
      <w:r>
        <w:t xml:space="preserve">Q3</w:t>
      </w:r>
      <w:r>
        <w:rPr>
          <w:rFonts w:hint="eastAsia"/>
        </w:rPr>
        <w:t xml:space="preserve">：中标供应商要注意什么？</w:t>
      </w:r>
      <w:r/>
    </w:p>
    <w:p>
      <w:r>
        <w:rPr>
          <w:rFonts w:hint="eastAsia"/>
        </w:rPr>
        <w:t xml:space="preserve">答：中标供应商要加强和采购单位的沟通协调，尽早确定融资需求。需要“政采贷”融资的，政府采购合同付款账号应当空置。</w:t>
      </w:r>
      <w:r/>
    </w:p>
    <w:p>
      <w:r>
        <w:t xml:space="preserve">Q4</w:t>
      </w:r>
      <w:r>
        <w:rPr>
          <w:rFonts w:hint="eastAsia"/>
        </w:rPr>
        <w:t xml:space="preserve">：采购单位要做什么？</w:t>
      </w:r>
      <w:r/>
    </w:p>
    <w:p>
      <w:r>
        <w:rPr>
          <w:rFonts w:hint="eastAsia"/>
        </w:rPr>
        <w:t xml:space="preserve">答：采购单位在“苏采云”系统中公示政府采购合同时，要勾选融资标识，为中标供应商融资提供便利。如后续融资失败，采购单位要及时维护中标供应商相关账号信息，按时支付款项。</w:t>
      </w:r>
      <w:r/>
    </w:p>
    <w:p>
      <w:r>
        <w:t xml:space="preserve">Q5</w:t>
      </w:r>
      <w:r>
        <w:rPr>
          <w:rFonts w:hint="eastAsia"/>
        </w:rPr>
        <w:t xml:space="preserve">：“政采贷”融资失败怎么办？</w:t>
      </w:r>
      <w:r/>
    </w:p>
    <w:p>
      <w:r>
        <w:rPr>
          <w:rFonts w:hint="eastAsia"/>
        </w:rPr>
        <w:t xml:space="preserve">答：经合作银行审核后不予放款，或者贷款审核时间超过</w:t>
      </w:r>
      <w:r>
        <w:t xml:space="preserve">10</w:t>
      </w:r>
      <w:r>
        <w:rPr>
          <w:rFonts w:hint="eastAsia"/>
        </w:rPr>
        <w:t xml:space="preserve">个工作日的，视为融资失败，该项目回到财政预算管理一体化系统中支付资金。融资失败的，无法重新线上申请“政采贷”。</w:t>
      </w:r>
      <w:r/>
    </w:p>
    <w:p>
      <w:pPr>
        <w:pStyle w:val="957"/>
        <w:ind w:left="640"/>
        <w:jc w:val="both"/>
        <w:spacing w:line="320" w:lineRule="exact"/>
        <w:rPr>
          <w:b/>
          <w:bCs/>
          <w:sz w:val="22"/>
          <w:szCs w:val="22"/>
        </w:rPr>
      </w:pPr>
      <w:r>
        <w:rPr>
          <w:rFonts w:hint="eastAsia"/>
          <w:b/>
          <w:bCs/>
          <w:sz w:val="22"/>
          <w:szCs w:val="22"/>
        </w:rPr>
        <w:t xml:space="preserve">3.网址及联系方式</w:t>
      </w:r>
      <w:r/>
    </w:p>
    <w:p>
      <w:r>
        <w:rPr>
          <w:rFonts w:hint="eastAsia"/>
        </w:rPr>
        <w:t xml:space="preserve">政采贷：</w:t>
      </w:r>
      <w:r>
        <w:fldChar w:fldCharType="begin"/>
      </w:r>
      <w:r>
        <w:instrText xml:space="preserve"> HYPERLINK "http://www.ccgp-jiangsu.gov.cn/jiangsu/paying.html" \o "http://www.ccgp-jiangsu.gov.cn/jiangsu/paying.html" </w:instrText>
      </w:r>
      <w:r>
        <w:fldChar w:fldCharType="separate"/>
      </w:r>
      <w:r>
        <w:rPr>
          <w:rStyle w:val="960"/>
          <w:color w:val="auto"/>
        </w:rPr>
        <w:t xml:space="preserve">http://www.ccgp-jiangsu.gov.cn/jiangsu/paying.html</w:t>
      </w:r>
      <w:r>
        <w:rPr>
          <w:rStyle w:val="960"/>
          <w:color w:val="auto"/>
        </w:rPr>
        <w:fldChar w:fldCharType="end"/>
      </w:r>
      <w:r/>
    </w:p>
    <w:p>
      <w:r>
        <w:rPr>
          <w:rFonts w:hint="eastAsia"/>
        </w:rPr>
        <w:t xml:space="preserve">中征平台：</w:t>
      </w:r>
      <w:r>
        <w:fldChar w:fldCharType="begin"/>
      </w:r>
      <w:r>
        <w:instrText xml:space="preserve"> HYPERLINK "https://www.crcrfsp.com/" \o "https://www.crcrfsp.com/" </w:instrText>
      </w:r>
      <w:r>
        <w:fldChar w:fldCharType="separate"/>
      </w:r>
      <w:r>
        <w:rPr>
          <w:rStyle w:val="960"/>
          <w:color w:val="auto"/>
        </w:rPr>
        <w:t xml:space="preserve">https://www.crcrfsp.com/</w:t>
      </w:r>
      <w:r>
        <w:rPr>
          <w:rStyle w:val="960"/>
          <w:color w:val="auto"/>
        </w:rPr>
        <w:fldChar w:fldCharType="end"/>
      </w:r>
      <w:r/>
    </w:p>
    <w:p>
      <w:pPr>
        <w:spacing w:line="360" w:lineRule="exact"/>
      </w:pPr>
      <w:r>
        <w:rPr>
          <w:rFonts w:hint="eastAsia"/>
        </w:rPr>
        <w:t xml:space="preserve">联系电话：</w:t>
      </w:r>
      <w:r>
        <w:t xml:space="preserve">0523-84821917</w:t>
      </w:r>
      <w:r/>
    </w:p>
    <w:p>
      <w:pPr>
        <w:jc w:val="center"/>
        <w:widowControl/>
        <w:rPr>
          <w:sz w:val="32"/>
          <w:szCs w:val="32"/>
        </w:rPr>
      </w:pPr>
      <w:r>
        <w:br w:type="page" w:clear="all"/>
      </w:r>
      <w:r>
        <w:rPr>
          <w:rFonts w:hint="eastAsia"/>
          <w:sz w:val="32"/>
          <w:szCs w:val="32"/>
        </w:rPr>
        <w:t xml:space="preserve">政府采购电子履约保函（保险）告知提醒</w:t>
      </w:r>
      <w:r/>
    </w:p>
    <w:p>
      <w:pPr>
        <w:pStyle w:val="775"/>
      </w:pPr>
      <w:r/>
      <w:r/>
    </w:p>
    <w:p>
      <w:pPr>
        <w:ind w:left="420"/>
        <w:rPr>
          <w:rFonts w:ascii="宋体" w:hAnsi="宋体" w:cs="宋体"/>
          <w:b/>
          <w:bCs/>
          <w:sz w:val="28"/>
          <w:szCs w:val="28"/>
        </w:rPr>
      </w:pPr>
      <w:r>
        <w:rPr>
          <w:rFonts w:hint="eastAsia" w:ascii="宋体" w:hAnsi="宋体" w:cs="宋体"/>
          <w:b/>
          <w:bCs/>
          <w:sz w:val="28"/>
          <w:szCs w:val="28"/>
        </w:rPr>
        <w:t xml:space="preserve">1.业务基本情况</w:t>
      </w:r>
      <w:r/>
    </w:p>
    <w:p>
      <w:pPr>
        <w:ind w:firstLine="420"/>
        <w:jc w:val="left"/>
        <w:spacing w:line="360" w:lineRule="auto"/>
        <w:widowControl/>
        <w:rPr>
          <w:rFonts w:ascii="宋体" w:hAnsi="宋体" w:cs="仿宋_GB2312"/>
          <w:szCs w:val="21"/>
          <w:lang w:bidi="ar"/>
        </w:rPr>
      </w:pPr>
      <w:r>
        <w:rPr>
          <w:rFonts w:hint="eastAsia" w:ascii="宋体" w:hAnsi="宋体" w:cs="仿宋_GB2312"/>
          <w:szCs w:val="21"/>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left="420"/>
        <w:rPr>
          <w:rFonts w:ascii="宋体" w:hAnsi="宋体" w:cs="宋体"/>
          <w:b/>
          <w:bCs/>
          <w:sz w:val="28"/>
          <w:szCs w:val="28"/>
        </w:rPr>
      </w:pPr>
      <w:r>
        <w:rPr>
          <w:rFonts w:hint="eastAsia" w:ascii="宋体" w:hAnsi="宋体" w:cs="宋体"/>
          <w:b/>
          <w:bCs/>
          <w:sz w:val="28"/>
          <w:szCs w:val="28"/>
        </w:rPr>
        <w:t xml:space="preserve">2.参与各方职责  </w:t>
      </w:r>
      <w:r/>
    </w:p>
    <w:p>
      <w:pPr>
        <w:ind w:firstLine="420"/>
        <w:jc w:val="left"/>
        <w:spacing w:line="360" w:lineRule="auto"/>
        <w:widowControl/>
        <w:rPr>
          <w:rFonts w:ascii="宋体" w:hAnsi="宋体" w:cs="仿宋_GB2312"/>
          <w:szCs w:val="21"/>
          <w:lang w:bidi="ar"/>
        </w:rPr>
      </w:pPr>
      <w:r>
        <w:rPr>
          <w:rFonts w:ascii="宋体" w:hAnsi="宋体" w:cs="仿宋_GB2312"/>
          <w:szCs w:val="21"/>
          <w:lang w:bidi="ar"/>
        </w:rPr>
        <w:t xml:space="preserve">①</w:t>
      </w:r>
      <w:r>
        <w:rPr>
          <w:rFonts w:hint="eastAsia" w:ascii="宋体" w:hAnsi="宋体" w:cs="仿宋_GB2312"/>
          <w:szCs w:val="21"/>
          <w:lang w:bidi="ar"/>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60" w:lineRule="auto"/>
        <w:widowControl/>
        <w:rPr>
          <w:rFonts w:ascii="宋体" w:hAnsi="宋体" w:cs="仿宋_GB2312"/>
          <w:szCs w:val="21"/>
          <w:lang w:bidi="ar"/>
        </w:rPr>
      </w:pPr>
      <w:r>
        <w:rPr>
          <w:rFonts w:ascii="宋体" w:hAnsi="宋体" w:cs="仿宋_GB2312"/>
          <w:szCs w:val="21"/>
          <w:lang w:bidi="ar"/>
        </w:rPr>
        <w:t xml:space="preserve">②</w:t>
      </w:r>
      <w:r>
        <w:rPr>
          <w:rFonts w:hint="eastAsia" w:ascii="宋体" w:hAnsi="宋体" w:cs="仿宋_GB2312"/>
          <w:szCs w:val="21"/>
          <w:lang w:bidi="ar"/>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60" w:lineRule="auto"/>
        <w:widowControl/>
        <w:rPr>
          <w:rFonts w:ascii="宋体" w:hAnsi="宋体" w:cs="仿宋_GB2312"/>
          <w:szCs w:val="21"/>
          <w:lang w:bidi="ar"/>
        </w:rPr>
      </w:pPr>
      <w:r>
        <w:rPr>
          <w:rFonts w:ascii="宋体" w:hAnsi="宋体" w:cs="仿宋_GB2312"/>
          <w:szCs w:val="21"/>
          <w:lang w:bidi="ar"/>
        </w:rPr>
        <w:t xml:space="preserve">③</w:t>
      </w:r>
      <w:r>
        <w:rPr>
          <w:rFonts w:hint="eastAsia" w:ascii="宋体" w:hAnsi="宋体" w:cs="仿宋_GB2312"/>
          <w:szCs w:val="21"/>
          <w:lang w:bidi="ar"/>
        </w:rPr>
        <w:t xml:space="preserve">采购代理机构。在采购文件中列示可以以履约保函（保险）形式代替提供履约保证金相关内容，在供应商获取采购文件、领取中标（成交）通知书等环节主动宣传相关政策。</w:t>
      </w:r>
      <w:r/>
    </w:p>
    <w:p>
      <w:pPr>
        <w:ind w:left="420"/>
        <w:rPr>
          <w:rFonts w:ascii="宋体" w:hAnsi="宋体" w:cs="宋体"/>
          <w:b/>
          <w:bCs/>
          <w:sz w:val="28"/>
          <w:szCs w:val="28"/>
        </w:rPr>
      </w:pPr>
      <w:r>
        <w:rPr>
          <w:rFonts w:hint="eastAsia" w:ascii="宋体" w:hAnsi="宋体" w:cs="宋体"/>
          <w:b/>
          <w:bCs/>
          <w:sz w:val="28"/>
          <w:szCs w:val="28"/>
        </w:rPr>
        <w:t xml:space="preserve">3.业务模式和流程</w:t>
      </w:r>
      <w:r/>
    </w:p>
    <w:p>
      <w:pPr>
        <w:ind w:firstLine="420"/>
        <w:jc w:val="left"/>
        <w:spacing w:line="360" w:lineRule="auto"/>
        <w:widowControl/>
        <w:rPr>
          <w:rFonts w:ascii="宋体" w:hAnsi="宋体" w:cs="仿宋_GB2312"/>
          <w:szCs w:val="21"/>
          <w:lang w:bidi="ar"/>
        </w:rPr>
      </w:pPr>
      <w:r>
        <w:rPr>
          <w:rFonts w:hint="eastAsia" w:ascii="宋体" w:hAnsi="宋体" w:cs="仿宋_GB2312"/>
          <w:szCs w:val="21"/>
          <w:lang w:bidi="ar"/>
        </w:rPr>
        <w:t xml:space="preserve">2021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jc w:val="center"/>
        <w:spacing w:line="480" w:lineRule="auto"/>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ind w:left="1440"/>
        <w:spacing w:line="480" w:lineRule="auto"/>
      </w:pPr>
      <w:r/>
      <w:r/>
    </w:p>
    <w:p>
      <w:pPr>
        <w:jc w:val="center"/>
        <w:rPr>
          <w:rFonts w:ascii="黑体" w:eastAsia="黑体"/>
          <w:bCs/>
          <w:sz w:val="44"/>
        </w:rPr>
        <w:outlineLvl w:val="0"/>
      </w:pPr>
      <w:r>
        <w:rPr>
          <w:rFonts w:ascii="黑体" w:eastAsia="黑体" w:cs="宋体"/>
          <w:sz w:val="44"/>
          <w:szCs w:val="44"/>
        </w:rPr>
        <w:br w:type="page" w:clear="all"/>
      </w:r>
      <w:r>
        <w:rPr>
          <w:rFonts w:hint="eastAsia" w:ascii="黑体" w:eastAsia="黑体"/>
          <w:bCs/>
          <w:sz w:val="44"/>
        </w:rPr>
        <w:t xml:space="preserve">第一章  投标邀请</w:t>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pStyle w:val="775"/>
              <w:ind w:firstLine="0"/>
              <w:rPr>
                <w:rFonts w:ascii="仿宋" w:hAnsi="仿宋" w:eastAsia="仿宋" w:cs="宋体"/>
                <w:sz w:val="28"/>
                <w:szCs w:val="28"/>
              </w:rPr>
            </w:pPr>
            <w:r/>
            <w:bookmarkStart w:id="0" w:name="_Toc28359079"/>
            <w:r/>
            <w:bookmarkStart w:id="1" w:name="_Toc35393621"/>
            <w:r/>
            <w:bookmarkStart w:id="2" w:name="_Toc38985263"/>
            <w:r/>
            <w:bookmarkStart w:id="3" w:name="_Toc35393790"/>
            <w:r/>
            <w:bookmarkStart w:id="4" w:name="_Toc28359002"/>
            <w:r/>
            <w:bookmarkStart w:id="5" w:name="_Hlk24379207"/>
            <w:r>
              <w:rPr>
                <w:rFonts w:hint="eastAsia" w:ascii="仿宋" w:hAnsi="仿宋" w:eastAsia="仿宋" w:cs="宋体"/>
                <w:sz w:val="28"/>
                <w:szCs w:val="28"/>
              </w:rPr>
              <w:t xml:space="preserve">项目概况：</w:t>
            </w:r>
            <w:r/>
          </w:p>
          <w:p>
            <w:pPr>
              <w:pStyle w:val="775"/>
              <w:ind w:firstLine="480"/>
            </w:pPr>
            <w:r>
              <w:rPr>
                <w:rFonts w:hint="eastAsia" w:ascii="仿宋" w:hAnsi="仿宋" w:eastAsia="仿宋" w:cs="宋体"/>
                <w:sz w:val="28"/>
                <w:szCs w:val="28"/>
              </w:rPr>
              <w:t xml:space="preserve">行政中心物业服务（含联检大楼保洁、绿化养护）项目JSZC-321282-JZCG-G2025-0029招标项目的潜在投标人应在江苏政府采购网获取招标文件，并于</w:t>
            </w:r>
            <w:bookmarkStart w:id="6" w:name="OLE_LINK3"/>
            <w:r>
              <w:rPr>
                <w:rFonts w:hint="eastAsia" w:ascii="仿宋" w:hAnsi="仿宋" w:eastAsia="仿宋" w:cs="宋体"/>
                <w:sz w:val="28"/>
                <w:szCs w:val="28"/>
              </w:rPr>
              <w:t xml:space="preserve">2026-01-</w:t>
            </w:r>
            <w:bookmarkEnd w:id="6"/>
            <w:r>
              <w:rPr>
                <w:rFonts w:hint="eastAsia" w:ascii="仿宋" w:hAnsi="仿宋" w:eastAsia="仿宋" w:cs="宋体"/>
                <w:sz w:val="28"/>
                <w:szCs w:val="28"/>
              </w:rPr>
              <w:t xml:space="preserve">20 9:00（北京时间）前递交投标文件。</w:t>
            </w:r>
            <w:r/>
          </w:p>
        </w:tc>
      </w:tr>
    </w:tbl>
    <w:p>
      <w:pPr>
        <w:pStyle w:val="775"/>
      </w:pPr>
      <w:r/>
      <w:r/>
    </w:p>
    <w:p>
      <w:pPr>
        <w:ind w:left="420"/>
        <w:rPr>
          <w:rFonts w:ascii="黑体" w:hAnsi="黑体" w:eastAsia="黑体"/>
          <w:sz w:val="30"/>
          <w:szCs w:val="30"/>
        </w:rPr>
        <w:outlineLvl w:val="1"/>
      </w:pPr>
      <w:r>
        <w:rPr>
          <w:rFonts w:hint="eastAsia" w:ascii="黑体" w:hAnsi="黑体" w:eastAsia="黑体"/>
          <w:sz w:val="30"/>
          <w:szCs w:val="30"/>
        </w:rPr>
        <w:t xml:space="preserve">一、项目基本情况</w:t>
      </w:r>
      <w:bookmarkEnd w:id="0"/>
      <w:r/>
      <w:bookmarkEnd w:id="1"/>
      <w:r/>
      <w:bookmarkEnd w:id="2"/>
      <w:r/>
      <w:bookmarkEnd w:id="3"/>
      <w:r/>
      <w:bookmarkEnd w:id="4"/>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1.项目编号：JSZC-321282-JZCG-G2025-0029</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2.项目名称：行政中心物业服务（含联检大楼保洁、绿化养护）</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3.预算金额：746.4万元。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4.最高限价：</w:t>
      </w:r>
      <w:bookmarkStart w:id="7" w:name="OLE_LINK20"/>
      <w:r/>
      <w:bookmarkStart w:id="8" w:name="OLE_LINK21"/>
      <w:r>
        <w:rPr>
          <w:rFonts w:hint="eastAsia" w:ascii="宋体" w:hAnsi="宋体" w:cs="宋体"/>
          <w:sz w:val="24"/>
          <w:szCs w:val="24"/>
        </w:rPr>
        <w:t xml:space="preserve">715.3万元。</w:t>
      </w:r>
      <w:bookmarkEnd w:id="7"/>
      <w:r/>
      <w:bookmarkEnd w:id="8"/>
      <w:r/>
      <w:r/>
    </w:p>
    <w:p>
      <w:pPr>
        <w:ind w:firstLine="480"/>
        <w:jc w:val="left"/>
        <w:spacing w:line="360" w:lineRule="auto"/>
        <w:rPr>
          <w:rFonts w:ascii="宋体" w:hAnsi="宋体" w:cs="宋体"/>
          <w:sz w:val="24"/>
          <w:szCs w:val="24"/>
        </w:rPr>
      </w:pPr>
      <w:r/>
      <w:bookmarkStart w:id="9" w:name="OLE_LINK40"/>
      <w:r/>
      <w:bookmarkStart w:id="10" w:name="OLE_LINK39"/>
      <w:r>
        <w:rPr>
          <w:rFonts w:hint="eastAsia" w:ascii="宋体" w:hAnsi="宋体" w:cs="宋体"/>
          <w:sz w:val="24"/>
          <w:szCs w:val="24"/>
        </w:rPr>
        <w:t xml:space="preserve">5.采购需求：</w:t>
      </w:r>
      <w:bookmarkEnd w:id="5"/>
      <w:r/>
      <w:bookmarkStart w:id="11" w:name="OLE_LINK25"/>
      <w:r/>
      <w:bookmarkStart w:id="12" w:name="OLE_LINK18"/>
      <w:r>
        <w:rPr>
          <w:rFonts w:hint="eastAsia" w:ascii="宋体" w:hAnsi="宋体" w:cs="宋体"/>
          <w:sz w:val="24"/>
          <w:szCs w:val="24"/>
        </w:rPr>
        <w:t xml:space="preserve">靖江市行政服务中心位于靖江市阳光大道1号，联检大楼位于靖江市阳光大道1号口岸联检中心。行政中心总占地面积137333㎡；绿地面积62000㎡；房屋建筑面积123799.94㎡，主楼共21层，地下2层（停车场和设备）</w:t>
      </w:r>
      <w:r>
        <w:rPr>
          <w:rFonts w:hint="eastAsia" w:ascii="宋体" w:hAnsi="宋体" w:cs="宋体"/>
          <w:sz w:val="24"/>
          <w:szCs w:val="24"/>
        </w:rPr>
        <w:t xml:space="preserve">，地面停车位252个、地下停车位231个；会议中心（3大6中），主楼多功能会议室53个；档案馆、党校；宿舍区；附属楼2幢，最高8层，地面停车位38个，地下一层（停车和设备）车位127个,附属楼多功能会议室9个；电梯23台。联检大楼房屋建筑面积31264㎡，由口岸联检中心、海关、海事、边防四幢大楼组成，其中口岸联检中心9层，其余各8层，地下一层为停车场，外围绿化面积17050㎡。物业管理工作主要包括：保洁服务、绿化养护服务、专项清洁服务、垃圾处理、卫生消毒、应急保障预案等服务，详见招标文件第四章《项目需求》。</w:t>
      </w:r>
      <w:bookmarkEnd w:id="9"/>
      <w:r/>
      <w:bookmarkEnd w:id="10"/>
      <w:r/>
      <w:bookmarkEnd w:id="11"/>
      <w:r/>
      <w:bookmarkEnd w:id="12"/>
      <w:r/>
      <w:r/>
    </w:p>
    <w:p>
      <w:pPr>
        <w:pStyle w:val="775"/>
        <w:ind w:firstLine="480"/>
        <w:rPr>
          <w:rFonts w:cs="宋体"/>
          <w:sz w:val="24"/>
          <w:szCs w:val="24"/>
        </w:rPr>
      </w:pPr>
      <w:r>
        <w:rPr>
          <w:rFonts w:hint="eastAsia" w:cs="宋体"/>
          <w:sz w:val="24"/>
          <w:szCs w:val="24"/>
        </w:rPr>
        <w:t xml:space="preserve">6.合同履行期限：2026年2月1日至2027年12月31日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7.本项目采购标的对应的中小企业划分标准所属行业为“物业管理”。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8.本项目</w:t>
      </w:r>
      <w:r>
        <w:rPr>
          <w:rFonts w:hint="eastAsia" w:ascii="宋体" w:hAnsi="宋体" w:cs="宋体"/>
          <w:b/>
          <w:bCs/>
          <w:sz w:val="24"/>
          <w:szCs w:val="24"/>
        </w:rPr>
        <w:t xml:space="preserve">不接受</w:t>
      </w:r>
      <w:r>
        <w:rPr>
          <w:rFonts w:hint="eastAsia" w:ascii="宋体" w:hAnsi="宋体" w:cs="宋体"/>
          <w:sz w:val="24"/>
          <w:szCs w:val="24"/>
        </w:rPr>
        <w:t xml:space="preserve">联合体投标。</w:t>
      </w:r>
      <w:r/>
    </w:p>
    <w:p>
      <w:pPr>
        <w:ind w:left="420"/>
        <w:rPr>
          <w:rFonts w:ascii="黑体" w:hAnsi="黑体" w:eastAsia="黑体"/>
          <w:sz w:val="30"/>
          <w:szCs w:val="30"/>
        </w:rPr>
        <w:outlineLvl w:val="1"/>
      </w:pPr>
      <w:r/>
      <w:bookmarkStart w:id="13" w:name="_Toc28359080"/>
      <w:r/>
      <w:bookmarkStart w:id="14" w:name="_Toc38985264"/>
      <w:r/>
      <w:bookmarkStart w:id="15" w:name="_Toc35393791"/>
      <w:r/>
      <w:bookmarkStart w:id="16" w:name="_Toc28359003"/>
      <w:r/>
      <w:bookmarkStart w:id="17" w:name="_Toc35393622"/>
      <w:r>
        <w:rPr>
          <w:rFonts w:hint="eastAsia" w:ascii="黑体" w:hAnsi="黑体" w:eastAsia="黑体"/>
          <w:sz w:val="30"/>
          <w:szCs w:val="30"/>
        </w:rPr>
        <w:t xml:space="preserve">二、申请人的资格要求：</w:t>
      </w:r>
      <w:bookmarkEnd w:id="13"/>
      <w:r/>
      <w:bookmarkEnd w:id="14"/>
      <w:r/>
      <w:bookmarkEnd w:id="15"/>
      <w:r/>
      <w:bookmarkEnd w:id="16"/>
      <w:r/>
      <w:bookmarkEnd w:id="17"/>
      <w:r/>
      <w:r/>
    </w:p>
    <w:p>
      <w:pPr>
        <w:pStyle w:val="775"/>
        <w:ind w:left="420"/>
        <w:rPr>
          <w:rFonts w:cs="宋体"/>
          <w:sz w:val="24"/>
          <w:szCs w:val="24"/>
        </w:rPr>
      </w:pPr>
      <w:r/>
      <w:bookmarkStart w:id="18" w:name="_Toc38985265"/>
      <w:r/>
      <w:bookmarkStart w:id="19" w:name="_Toc35393623"/>
      <w:r/>
      <w:bookmarkStart w:id="20" w:name="_Toc28359004"/>
      <w:r/>
      <w:bookmarkStart w:id="21" w:name="_Toc35393792"/>
      <w:r/>
      <w:bookmarkStart w:id="22" w:name="_Toc28359081"/>
      <w:r>
        <w:rPr>
          <w:rFonts w:hint="eastAsia" w:cs="宋体"/>
          <w:sz w:val="24"/>
          <w:szCs w:val="24"/>
        </w:rPr>
        <w:t xml:space="preserve">（一）满足《中华人民共和国政府采购法》第二十二条规定：</w:t>
      </w:r>
      <w:r/>
    </w:p>
    <w:p>
      <w:pPr>
        <w:pStyle w:val="775"/>
        <w:ind w:left="420"/>
        <w:rPr>
          <w:rFonts w:cs="宋体"/>
          <w:sz w:val="24"/>
          <w:szCs w:val="24"/>
        </w:rPr>
      </w:pPr>
      <w:r>
        <w:rPr>
          <w:rFonts w:hint="eastAsia" w:cs="宋体"/>
          <w:sz w:val="24"/>
          <w:szCs w:val="24"/>
        </w:rPr>
        <w:t xml:space="preserve">1.</w:t>
      </w:r>
      <w:r>
        <w:rPr>
          <w:rFonts w:hint="eastAsia"/>
        </w:rPr>
        <w:t xml:space="preserve"> </w:t>
      </w:r>
      <w:bookmarkStart w:id="23" w:name="OLE_LINK14"/>
      <w:r>
        <w:rPr>
          <w:rFonts w:hint="eastAsia" w:cs="宋体"/>
          <w:sz w:val="24"/>
          <w:szCs w:val="24"/>
        </w:rPr>
        <w:t xml:space="preserve">具有独立承担民事责任的能力；（提供法人或者其他组织的营业执照等证明文件，自然人的身份证明）</w:t>
      </w:r>
      <w:bookmarkEnd w:id="23"/>
      <w:r/>
      <w:r/>
    </w:p>
    <w:p>
      <w:pPr>
        <w:pStyle w:val="775"/>
        <w:ind w:left="420"/>
        <w:rPr>
          <w:rFonts w:cs="宋体"/>
          <w:sz w:val="24"/>
          <w:szCs w:val="24"/>
        </w:rPr>
      </w:pPr>
      <w:r>
        <w:rPr>
          <w:rFonts w:hint="eastAsia" w:cs="宋体"/>
          <w:sz w:val="24"/>
          <w:szCs w:val="24"/>
        </w:rPr>
        <w:t xml:space="preserve">2.</w:t>
      </w:r>
      <w:r>
        <w:rPr>
          <w:rFonts w:hint="eastAsia"/>
        </w:rPr>
        <w:t xml:space="preserve"> </w:t>
      </w:r>
      <w:bookmarkStart w:id="24" w:name="OLE_LINK15"/>
      <w:r>
        <w:rPr>
          <w:rFonts w:hint="eastAsia" w:cs="宋体"/>
          <w:sz w:val="24"/>
          <w:szCs w:val="24"/>
        </w:rPr>
        <w:t xml:space="preserve">具有良好的商业信誉和健全的财务会计制度；（适用承诺制）</w:t>
      </w:r>
      <w:bookmarkEnd w:id="24"/>
      <w:r/>
      <w:r/>
    </w:p>
    <w:p>
      <w:pPr>
        <w:pStyle w:val="775"/>
        <w:ind w:left="420"/>
        <w:rPr>
          <w:rFonts w:cs="宋体"/>
          <w:sz w:val="24"/>
          <w:szCs w:val="24"/>
        </w:rPr>
      </w:pPr>
      <w:r>
        <w:rPr>
          <w:rFonts w:hint="eastAsia" w:cs="宋体"/>
          <w:sz w:val="24"/>
          <w:szCs w:val="24"/>
        </w:rPr>
        <w:t xml:space="preserve">3.</w:t>
      </w:r>
      <w:r>
        <w:rPr>
          <w:rFonts w:hint="eastAsia"/>
        </w:rPr>
        <w:t xml:space="preserve"> </w:t>
      </w:r>
      <w:r>
        <w:rPr>
          <w:rFonts w:hint="eastAsia" w:cs="宋体"/>
          <w:sz w:val="24"/>
          <w:szCs w:val="24"/>
        </w:rPr>
        <w:t xml:space="preserve">具有履行合同所必需的设备和专业技术能力；（适用承诺制）</w:t>
      </w:r>
      <w:r/>
    </w:p>
    <w:p>
      <w:pPr>
        <w:pStyle w:val="775"/>
        <w:ind w:left="420"/>
        <w:rPr>
          <w:rFonts w:cs="宋体"/>
          <w:sz w:val="24"/>
          <w:szCs w:val="24"/>
        </w:rPr>
      </w:pPr>
      <w:r>
        <w:rPr>
          <w:rFonts w:hint="eastAsia" w:cs="宋体"/>
          <w:sz w:val="24"/>
          <w:szCs w:val="24"/>
        </w:rPr>
        <w:t xml:space="preserve">4.</w:t>
      </w:r>
      <w:r>
        <w:rPr>
          <w:rFonts w:hint="eastAsia"/>
        </w:rPr>
        <w:t xml:space="preserve"> </w:t>
      </w:r>
      <w:r>
        <w:rPr>
          <w:rFonts w:hint="eastAsia" w:cs="宋体"/>
          <w:sz w:val="24"/>
          <w:szCs w:val="24"/>
        </w:rPr>
        <w:t xml:space="preserve">有依法缴纳税收和社会保障资金的良好记录；（适用承诺制）</w:t>
      </w:r>
      <w:r/>
    </w:p>
    <w:p>
      <w:pPr>
        <w:pStyle w:val="775"/>
        <w:ind w:left="420"/>
        <w:rPr>
          <w:rFonts w:cs="宋体"/>
          <w:sz w:val="24"/>
          <w:szCs w:val="24"/>
        </w:rPr>
      </w:pPr>
      <w:r>
        <w:rPr>
          <w:rFonts w:hint="eastAsia" w:cs="宋体"/>
          <w:sz w:val="24"/>
          <w:szCs w:val="24"/>
        </w:rPr>
        <w:t xml:space="preserve">5.参加政府采购活动前三年内，在经营活动中没有重大违法记录；（适用承诺制）</w:t>
      </w:r>
      <w:r/>
    </w:p>
    <w:p>
      <w:pPr>
        <w:pStyle w:val="775"/>
        <w:ind w:left="420"/>
        <w:rPr>
          <w:rFonts w:cs="宋体"/>
          <w:sz w:val="24"/>
          <w:szCs w:val="24"/>
        </w:rPr>
      </w:pPr>
      <w:r>
        <w:rPr>
          <w:rFonts w:hint="eastAsia" w:cs="宋体"/>
          <w:sz w:val="24"/>
          <w:szCs w:val="24"/>
        </w:rPr>
        <w:t xml:space="preserve">6．</w:t>
      </w:r>
      <w:r>
        <w:rPr>
          <w:rFonts w:hint="eastAsia"/>
          <w:sz w:val="24"/>
          <w:szCs w:val="24"/>
        </w:rPr>
        <w:t xml:space="preserve">未被“信用中国”网站（www.creditchina.gov.cn）列入失信被执行人、重大税收违法失信主体、政府采购严重失信行为记录名单。</w:t>
      </w:r>
      <w:r>
        <w:rPr>
          <w:rFonts w:hint="eastAsia" w:cs="宋体"/>
          <w:sz w:val="24"/>
          <w:szCs w:val="24"/>
        </w:rPr>
        <w:t xml:space="preserve">（投标文件中可提供网络查询截图方便查阅）</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（二）落实政府采购政策需满足的资格要求: </w:t>
      </w:r>
      <w:r/>
    </w:p>
    <w:p>
      <w:pPr>
        <w:pStyle w:val="775"/>
        <w:ind w:left="420"/>
        <w:rPr>
          <w:rFonts w:cs="宋体"/>
          <w:sz w:val="24"/>
          <w:szCs w:val="24"/>
        </w:rPr>
      </w:pPr>
      <w:r/>
      <w:bookmarkStart w:id="25" w:name="OLE_LINK12"/>
      <w:r>
        <w:rPr>
          <w:rFonts w:hint="eastAsia" w:cs="宋体"/>
          <w:sz w:val="24"/>
          <w:szCs w:val="24"/>
        </w:rPr>
        <w:t xml:space="preserve">根据苏财购[2021]34号文关于“转发财政部工业和信息化部关于印发《政府采购促进中小企业发展管理办法》的通知”要求，本项目专门面向中小企业采购,</w:t>
      </w:r>
      <w:bookmarkStart w:id="26" w:name="OLE_LINK17"/>
      <w:r/>
      <w:bookmarkStart w:id="27" w:name="OLE_LINK16"/>
      <w:r>
        <w:rPr>
          <w:rFonts w:hint="eastAsia" w:cs="宋体"/>
          <w:sz w:val="24"/>
          <w:szCs w:val="24"/>
        </w:rPr>
        <w:t xml:space="preserve">供应商应为中小微企业、监狱企业、残疾人福利性单位之一</w:t>
      </w:r>
      <w:bookmarkEnd w:id="26"/>
      <w:r/>
      <w:bookmarkEnd w:id="27"/>
      <w:r>
        <w:rPr>
          <w:rFonts w:hint="eastAsia" w:cs="宋体"/>
          <w:sz w:val="24"/>
          <w:szCs w:val="24"/>
        </w:rPr>
        <w:t xml:space="preserve">。(中小企业划分标准参照：工信部联企业[2011]300号文件规定)</w:t>
      </w:r>
      <w:bookmarkEnd w:id="25"/>
      <w:r/>
      <w:r/>
    </w:p>
    <w:p>
      <w:pPr>
        <w:pStyle w:val="775"/>
        <w:ind w:left="420"/>
        <w:rPr>
          <w:sz w:val="24"/>
          <w:szCs w:val="24"/>
        </w:rPr>
      </w:pPr>
      <w:r>
        <w:rPr>
          <w:rFonts w:hint="eastAsia"/>
          <w:sz w:val="24"/>
          <w:szCs w:val="24"/>
        </w:rPr>
        <w:t xml:space="preserve">（三）本项目的特定资格要求：</w:t>
      </w:r>
      <w:r/>
    </w:p>
    <w:p>
      <w:pPr>
        <w:pStyle w:val="775"/>
        <w:ind w:left="420"/>
        <w:rPr>
          <w:sz w:val="24"/>
          <w:szCs w:val="24"/>
        </w:rPr>
      </w:pPr>
      <w:r>
        <w:rPr>
          <w:rFonts w:hint="eastAsia"/>
          <w:sz w:val="24"/>
          <w:szCs w:val="24"/>
        </w:rPr>
        <w:t xml:space="preserve"> 1.</w:t>
      </w:r>
      <w:r>
        <w:rPr>
          <w:sz w:val="24"/>
          <w:szCs w:val="24"/>
        </w:rPr>
        <w:t xml:space="preserve"> </w:t>
      </w:r>
      <w:r>
        <w:rPr>
          <w:rFonts w:hint="eastAsia" w:cs="宋体"/>
          <w:sz w:val="24"/>
          <w:szCs w:val="24"/>
        </w:rPr>
        <w:t xml:space="preserve">投标人若为分支机构（分公司）的，需提供其总公司（集团）出具的授权书。同一总公司仅能授权一家所属的分支机构进行投标。总公司不得与分支机构一同参与投标。</w:t>
      </w:r>
      <w:r/>
    </w:p>
    <w:p>
      <w:pPr>
        <w:ind w:left="420"/>
        <w:rPr>
          <w:rFonts w:ascii="黑体" w:hAnsi="黑体" w:eastAsia="黑体"/>
          <w:sz w:val="30"/>
          <w:szCs w:val="30"/>
        </w:rPr>
        <w:outlineLvl w:val="1"/>
      </w:pPr>
      <w:r>
        <w:rPr>
          <w:rFonts w:hint="eastAsia" w:ascii="黑体" w:hAnsi="黑体" w:eastAsia="黑体"/>
          <w:sz w:val="30"/>
          <w:szCs w:val="30"/>
        </w:rPr>
        <w:t xml:space="preserve">三、获取招标文件</w:t>
      </w:r>
      <w:bookmarkEnd w:id="18"/>
      <w:r/>
      <w:bookmarkEnd w:id="19"/>
      <w:r/>
      <w:bookmarkEnd w:id="20"/>
      <w:r/>
      <w:bookmarkEnd w:id="21"/>
      <w:r/>
      <w:bookmarkEnd w:id="22"/>
      <w:r/>
      <w:r/>
    </w:p>
    <w:p>
      <w:pPr>
        <w:ind w:left="420" w:firstLine="600"/>
        <w:rPr>
          <w:rFonts w:ascii="宋体" w:hAnsi="宋体" w:cs="宋体"/>
          <w:sz w:val="24"/>
          <w:szCs w:val="24"/>
        </w:rPr>
        <w:outlineLvl w:val="1"/>
      </w:pPr>
      <w:r/>
      <w:bookmarkStart w:id="28" w:name="_Toc28359082"/>
      <w:r/>
      <w:bookmarkStart w:id="29" w:name="_Toc28359005"/>
      <w:r/>
      <w:bookmarkStart w:id="30" w:name="_Toc38985266"/>
      <w:r/>
      <w:bookmarkStart w:id="31" w:name="_Toc35393624"/>
      <w:r/>
      <w:bookmarkStart w:id="32" w:name="_Toc35393793"/>
      <w:r>
        <w:rPr>
          <w:rFonts w:hint="eastAsia" w:ascii="宋体" w:hAnsi="宋体" w:cs="宋体"/>
          <w:sz w:val="24"/>
          <w:szCs w:val="24"/>
        </w:rPr>
        <w:t xml:space="preserve">时间：自招标文件公告发布之日起5个工作日</w:t>
      </w:r>
      <w:r/>
    </w:p>
    <w:p>
      <w:pPr>
        <w:ind w:left="420" w:firstLine="600"/>
        <w:rPr>
          <w:rFonts w:ascii="宋体" w:hAnsi="宋体" w:cs="宋体"/>
          <w:sz w:val="24"/>
          <w:szCs w:val="24"/>
        </w:rPr>
        <w:outlineLvl w:val="1"/>
      </w:pPr>
      <w:r>
        <w:rPr>
          <w:rFonts w:hint="eastAsia" w:ascii="宋体" w:hAnsi="宋体" w:cs="宋体"/>
          <w:sz w:val="24"/>
          <w:szCs w:val="24"/>
        </w:rPr>
        <w:t xml:space="preserve">地点：苏采云 （网址：http://jszfcg.jsczt.cn/）</w:t>
      </w:r>
      <w:r/>
    </w:p>
    <w:p>
      <w:pPr>
        <w:ind w:left="420" w:firstLine="600"/>
        <w:rPr>
          <w:rFonts w:ascii="宋体" w:hAnsi="宋体" w:cs="宋体"/>
          <w:sz w:val="24"/>
          <w:szCs w:val="24"/>
        </w:rPr>
        <w:outlineLvl w:val="1"/>
      </w:pPr>
      <w:r>
        <w:rPr>
          <w:rFonts w:hint="eastAsia" w:ascii="宋体" w:hAnsi="宋体" w:cs="宋体"/>
          <w:sz w:val="24"/>
          <w:szCs w:val="24"/>
        </w:rPr>
        <w:t xml:space="preserve">方式：在“苏采云”自行免费下载采购文件</w:t>
      </w:r>
      <w:r/>
    </w:p>
    <w:p>
      <w:pPr>
        <w:ind w:left="420" w:firstLine="600"/>
        <w:rPr>
          <w:rFonts w:ascii="宋体" w:hAnsi="宋体" w:cs="宋体"/>
          <w:sz w:val="24"/>
          <w:szCs w:val="24"/>
        </w:rPr>
        <w:outlineLvl w:val="1"/>
      </w:pPr>
      <w:r>
        <w:rPr>
          <w:rFonts w:hint="eastAsia" w:ascii="宋体" w:hAnsi="宋体" w:cs="宋体"/>
          <w:sz w:val="24"/>
          <w:szCs w:val="24"/>
        </w:rPr>
        <w:t xml:space="preserve">售价：0.00元</w:t>
      </w:r>
      <w:r/>
    </w:p>
    <w:p>
      <w:pPr>
        <w:ind w:left="420"/>
        <w:rPr>
          <w:rFonts w:ascii="黑体" w:hAnsi="黑体" w:eastAsia="黑体"/>
          <w:sz w:val="30"/>
          <w:szCs w:val="30"/>
        </w:rPr>
        <w:outlineLvl w:val="1"/>
      </w:pPr>
      <w:r>
        <w:rPr>
          <w:rFonts w:hint="eastAsia" w:ascii="黑体" w:hAnsi="黑体" w:eastAsia="黑体"/>
          <w:sz w:val="30"/>
          <w:szCs w:val="30"/>
        </w:rPr>
        <w:t xml:space="preserve">四、提交投标文件</w:t>
      </w:r>
      <w:bookmarkEnd w:id="28"/>
      <w:r/>
      <w:bookmarkEnd w:id="29"/>
      <w:r>
        <w:rPr>
          <w:rFonts w:hint="eastAsia" w:ascii="黑体" w:hAnsi="黑体" w:eastAsia="黑体"/>
          <w:sz w:val="30"/>
          <w:szCs w:val="30"/>
        </w:rPr>
        <w:t xml:space="preserve">截止时间、开标时间和地点</w:t>
      </w:r>
      <w:bookmarkEnd w:id="30"/>
      <w:r/>
      <w:bookmarkEnd w:id="31"/>
      <w:r/>
      <w:bookmarkEnd w:id="32"/>
      <w:r/>
      <w:r/>
    </w:p>
    <w:p>
      <w:pPr>
        <w:ind w:left="420" w:firstLine="600"/>
        <w:rPr>
          <w:rFonts w:ascii="宋体" w:hAnsi="宋体" w:cs="宋体"/>
          <w:sz w:val="24"/>
          <w:szCs w:val="24"/>
        </w:rPr>
        <w:outlineLvl w:val="1"/>
      </w:pPr>
      <w:r/>
      <w:bookmarkStart w:id="33" w:name="_Toc28359084"/>
      <w:r/>
      <w:bookmarkStart w:id="34" w:name="_Toc28359007"/>
      <w:r/>
      <w:bookmarkStart w:id="35" w:name="_Toc38985267"/>
      <w:r/>
      <w:bookmarkStart w:id="36" w:name="_Toc35393794"/>
      <w:r/>
      <w:bookmarkStart w:id="37" w:name="_Toc35393625"/>
      <w:r>
        <w:rPr>
          <w:rFonts w:hint="eastAsia" w:ascii="宋体" w:hAnsi="宋体" w:cs="宋体"/>
          <w:sz w:val="24"/>
          <w:szCs w:val="24"/>
        </w:rPr>
        <w:t xml:space="preserve">2026-01-20  9:00 （北京时间）</w:t>
      </w:r>
      <w:r/>
    </w:p>
    <w:p>
      <w:pPr>
        <w:ind w:left="420" w:firstLine="600"/>
        <w:rPr>
          <w:rFonts w:ascii="宋体" w:hAnsi="宋体" w:cs="宋体"/>
          <w:sz w:val="24"/>
          <w:szCs w:val="24"/>
        </w:rPr>
        <w:outlineLvl w:val="1"/>
      </w:pPr>
      <w:r>
        <w:rPr>
          <w:rFonts w:hint="eastAsia" w:ascii="宋体" w:hAnsi="宋体" w:cs="宋体"/>
          <w:sz w:val="24"/>
          <w:szCs w:val="24"/>
        </w:rPr>
        <w:t xml:space="preserve">地点：苏采云（网址：http://jszfcg.jsczt.cn/）</w:t>
      </w:r>
      <w:r/>
    </w:p>
    <w:p>
      <w:pPr>
        <w:ind w:left="420"/>
        <w:rPr>
          <w:rFonts w:ascii="黑体" w:hAnsi="黑体" w:eastAsia="黑体"/>
          <w:sz w:val="30"/>
          <w:szCs w:val="30"/>
        </w:rPr>
        <w:outlineLvl w:val="1"/>
      </w:pPr>
      <w:r>
        <w:rPr>
          <w:rFonts w:hint="eastAsia" w:ascii="黑体" w:hAnsi="黑体" w:eastAsia="黑体"/>
          <w:sz w:val="30"/>
          <w:szCs w:val="30"/>
        </w:rPr>
        <w:t xml:space="preserve">五、公告期限</w:t>
      </w:r>
      <w:bookmarkEnd w:id="33"/>
      <w:r/>
      <w:bookmarkEnd w:id="34"/>
      <w:r/>
      <w:bookmarkEnd w:id="35"/>
      <w:r/>
      <w:bookmarkEnd w:id="36"/>
      <w:r/>
      <w:bookmarkEnd w:id="37"/>
      <w:r/>
      <w:r/>
    </w:p>
    <w:p>
      <w:pPr>
        <w:ind w:left="420" w:firstLine="480"/>
        <w:jc w:val="left"/>
        <w:spacing w:line="360" w:lineRule="auto"/>
        <w:rPr>
          <w:rFonts w:ascii="宋体" w:hAnsi="宋体" w:cs="宋体"/>
          <w:sz w:val="24"/>
          <w:szCs w:val="24"/>
        </w:rPr>
      </w:pPr>
      <w:r/>
      <w:bookmarkStart w:id="38" w:name="_Toc38985268"/>
      <w:r/>
      <w:bookmarkStart w:id="39" w:name="_Toc35393795"/>
      <w:r/>
      <w:bookmarkStart w:id="40" w:name="_Toc35393626"/>
      <w:r>
        <w:rPr>
          <w:rFonts w:hint="eastAsia" w:ascii="宋体" w:hAnsi="宋体" w:cs="宋体"/>
          <w:sz w:val="24"/>
          <w:szCs w:val="24"/>
        </w:rPr>
        <w:t xml:space="preserve">自本公告发布之日起5个工作日。</w:t>
      </w:r>
      <w:r/>
    </w:p>
    <w:p>
      <w:pPr>
        <w:numPr>
          <w:ilvl w:val="0"/>
          <w:numId w:val="3"/>
        </w:numPr>
        <w:ind w:left="420"/>
        <w:rPr>
          <w:rFonts w:ascii="黑体" w:hAnsi="黑体" w:eastAsia="黑体"/>
          <w:sz w:val="30"/>
          <w:szCs w:val="30"/>
        </w:rPr>
        <w:outlineLvl w:val="1"/>
      </w:pPr>
      <w:r>
        <w:rPr>
          <w:rFonts w:hint="eastAsia" w:ascii="黑体" w:hAnsi="黑体" w:eastAsia="黑体"/>
          <w:sz w:val="30"/>
          <w:szCs w:val="30"/>
        </w:rPr>
        <w:t xml:space="preserve">其他补充事宜</w:t>
      </w:r>
      <w:bookmarkEnd w:id="38"/>
      <w:r/>
      <w:bookmarkEnd w:id="39"/>
      <w:r/>
      <w:bookmarkEnd w:id="40"/>
      <w:r>
        <w:rPr>
          <w:rFonts w:hint="eastAsia" w:ascii="黑体" w:hAnsi="黑体" w:eastAsia="黑体"/>
          <w:sz w:val="30"/>
          <w:szCs w:val="30"/>
        </w:rPr>
        <w:t xml:space="preserve"> </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 无</w:t>
      </w:r>
      <w:r/>
    </w:p>
    <w:p>
      <w:pPr>
        <w:ind w:left="420"/>
        <w:rPr>
          <w:rFonts w:ascii="黑体" w:hAnsi="黑体" w:eastAsia="黑体"/>
          <w:sz w:val="30"/>
          <w:szCs w:val="30"/>
        </w:rPr>
        <w:outlineLvl w:val="1"/>
      </w:pPr>
      <w:r/>
      <w:bookmarkStart w:id="41" w:name="_Toc35393796"/>
      <w:r/>
      <w:bookmarkStart w:id="42" w:name="_Toc38985269"/>
      <w:r/>
      <w:bookmarkStart w:id="43" w:name="_Toc28359085"/>
      <w:r/>
      <w:bookmarkStart w:id="44" w:name="_Toc35393627"/>
      <w:r/>
      <w:bookmarkStart w:id="45" w:name="_Toc28359008"/>
      <w:r>
        <w:rPr>
          <w:rFonts w:hint="eastAsia" w:ascii="黑体" w:hAnsi="黑体" w:eastAsia="黑体"/>
          <w:sz w:val="30"/>
          <w:szCs w:val="30"/>
        </w:rPr>
        <w:t xml:space="preserve">七、本次招标联系方式</w:t>
      </w:r>
      <w:bookmarkEnd w:id="41"/>
      <w:r/>
      <w:bookmarkEnd w:id="42"/>
      <w:r/>
      <w:bookmarkEnd w:id="43"/>
      <w:r/>
      <w:bookmarkEnd w:id="44"/>
      <w:r/>
      <w:bookmarkEnd w:id="45"/>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rPr>
          <w:rFonts w:cs="宋体" w:asciiTheme="minorEastAsia" w:hAnsiTheme="minorEastAsia" w:eastAsiaTheme="minorEastAsia"/>
          <w:sz w:val="24"/>
          <w:szCs w:val="24"/>
        </w:rPr>
        <w:t xml:space="preserve"> </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单位名称：靖江市机关事务服务中心</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单位地址：靖江市阳光大道1号</w:t>
      </w:r>
      <w:r>
        <w:rPr>
          <w:rFonts w:cs="宋体" w:asciiTheme="minorEastAsia" w:hAnsiTheme="minorEastAsia" w:eastAsiaTheme="minorEastAsia"/>
          <w:sz w:val="24"/>
          <w:szCs w:val="24"/>
        </w:rPr>
        <w:t xml:space="preserve"> </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联系人：王凯</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w:t>
      </w:r>
      <w:r>
        <w:rPr>
          <w:rFonts w:hint="eastAsia" w:cs="宋体" w:asciiTheme="minorEastAsia" w:hAnsiTheme="minorEastAsia" w:eastAsiaTheme="minorEastAsia"/>
          <w:sz w:val="24"/>
          <w:szCs w:val="24"/>
          <w:lang w:val="zh-CN"/>
        </w:rPr>
        <w:t xml:space="preserve">0523-89180206</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2.采购代理机构信息（如有）</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单位名称：靖江市公共资源交易中心</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单位地址：靖江市江洲路政务服务中心三楼</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联系人：张磊</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联系电话：0523-89182383</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3.项目联系方式</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项目联系人：张磊</w:t>
      </w:r>
      <w:r/>
    </w:p>
    <w:p>
      <w:pPr>
        <w:pStyle w:val="775"/>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电话：0523-89182383</w:t>
      </w:r>
      <w:r/>
    </w:p>
    <w:p>
      <w:pPr>
        <w:ind w:firstLine="480"/>
        <w:jc w:val="center"/>
        <w:spacing w:line="480" w:lineRule="exact"/>
        <w:rPr>
          <w:rFonts w:ascii="黑体" w:eastAsia="黑体"/>
          <w:bCs/>
          <w:sz w:val="44"/>
        </w:rPr>
      </w:pPr>
      <w:r>
        <w:rPr>
          <w:rFonts w:hint="eastAsia" w:ascii="宋体" w:hAnsi="宋体"/>
          <w:sz w:val="24"/>
        </w:rPr>
        <w:br w:type="page" w:clear="all"/>
      </w:r>
      <w:r>
        <w:rPr>
          <w:rFonts w:hint="eastAsia" w:ascii="黑体" w:eastAsia="黑体"/>
          <w:bCs/>
          <w:sz w:val="44"/>
        </w:rPr>
        <w:t xml:space="preserve">第二章  </w:t>
      </w:r>
      <w:bookmarkStart w:id="46" w:name="_Toc16938518"/>
      <w:r/>
      <w:bookmarkStart w:id="47" w:name="_Toc120614213"/>
      <w:r/>
      <w:bookmarkStart w:id="48" w:name="_Toc20823274"/>
      <w:r/>
      <w:bookmarkStart w:id="49" w:name="_Toc513029202"/>
      <w:r>
        <w:rPr>
          <w:rFonts w:hint="eastAsia" w:ascii="黑体" w:eastAsia="黑体"/>
          <w:bCs/>
          <w:sz w:val="44"/>
        </w:rPr>
        <w:t xml:space="preserve">投标人须知</w:t>
      </w:r>
      <w:bookmarkEnd w:id="46"/>
      <w:r/>
      <w:bookmarkEnd w:id="47"/>
      <w:r/>
      <w:bookmarkEnd w:id="48"/>
      <w:r/>
      <w:bookmarkEnd w:id="49"/>
      <w:r/>
      <w:r/>
    </w:p>
    <w:p>
      <w:pPr>
        <w:ind w:firstLine="640"/>
        <w:rPr>
          <w:sz w:val="32"/>
          <w:szCs w:val="32"/>
        </w:rPr>
        <w:outlineLvl w:val="1"/>
      </w:pPr>
      <w:r/>
      <w:bookmarkStart w:id="50" w:name="_Toc120614214"/>
      <w:r/>
      <w:bookmarkStart w:id="51" w:name="_Toc20823275"/>
      <w:r/>
      <w:bookmarkStart w:id="52" w:name="_Toc16938519"/>
      <w:r/>
      <w:bookmarkStart w:id="53" w:name="_Toc513029203"/>
      <w:r>
        <w:rPr>
          <w:rFonts w:hint="eastAsia"/>
          <w:sz w:val="32"/>
          <w:szCs w:val="32"/>
        </w:rPr>
        <w:t xml:space="preserve">一、总则</w:t>
      </w:r>
      <w:bookmarkEnd w:id="50"/>
      <w:r/>
      <w:bookmarkEnd w:id="51"/>
      <w:r/>
      <w:bookmarkEnd w:id="52"/>
      <w:r/>
      <w:bookmarkEnd w:id="53"/>
      <w:r/>
      <w:r/>
    </w:p>
    <w:p>
      <w:pPr>
        <w:ind w:firstLine="600"/>
        <w:rPr>
          <w:rFonts w:ascii="黑体" w:hAnsi="黑体" w:eastAsia="黑体"/>
          <w:sz w:val="30"/>
          <w:szCs w:val="30"/>
        </w:rPr>
      </w:pPr>
      <w:r/>
      <w:bookmarkStart w:id="54" w:name="_Hlt16619475"/>
      <w:r/>
      <w:bookmarkEnd w:id="54"/>
      <w:r/>
      <w:bookmarkStart w:id="55" w:name="_Toc458694821"/>
      <w:r/>
      <w:bookmarkStart w:id="56" w:name="_Toc20823276"/>
      <w:r/>
      <w:bookmarkStart w:id="57" w:name="_Toc16938520"/>
      <w:r/>
      <w:bookmarkStart w:id="58" w:name="_Toc513029204"/>
      <w:r>
        <w:rPr>
          <w:rFonts w:ascii="黑体" w:hAnsi="黑体" w:eastAsia="黑体"/>
          <w:sz w:val="30"/>
          <w:szCs w:val="30"/>
        </w:rPr>
        <w:t xml:space="preserve">1</w:t>
      </w:r>
      <w:bookmarkEnd w:id="55"/>
      <w:r>
        <w:rPr>
          <w:rFonts w:hint="eastAsia" w:ascii="黑体" w:hAnsi="黑体" w:eastAsia="黑体"/>
          <w:sz w:val="30"/>
          <w:szCs w:val="30"/>
        </w:rPr>
        <w:t xml:space="preserve">、招标方式</w:t>
      </w:r>
      <w:bookmarkEnd w:id="56"/>
      <w:r/>
      <w:bookmarkEnd w:id="57"/>
      <w:r/>
      <w:bookmarkEnd w:id="58"/>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600"/>
        <w:rPr>
          <w:rFonts w:ascii="黑体" w:hAnsi="黑体" w:eastAsia="黑体"/>
          <w:sz w:val="30"/>
          <w:szCs w:val="30"/>
        </w:rPr>
      </w:pPr>
      <w:r/>
      <w:bookmarkStart w:id="59" w:name="_Toc16938521"/>
      <w:r/>
      <w:bookmarkStart w:id="60" w:name="_Toc20823277"/>
      <w:r/>
      <w:bookmarkStart w:id="61" w:name="_Toc513029205"/>
      <w:r>
        <w:rPr>
          <w:rFonts w:ascii="黑体" w:hAnsi="黑体" w:eastAsia="黑体"/>
          <w:sz w:val="30"/>
          <w:szCs w:val="30"/>
        </w:rPr>
        <w:t xml:space="preserve">2</w:t>
      </w:r>
      <w:r>
        <w:rPr>
          <w:rFonts w:hint="eastAsia" w:ascii="黑体" w:hAnsi="黑体" w:eastAsia="黑体"/>
          <w:sz w:val="30"/>
          <w:szCs w:val="30"/>
        </w:rPr>
        <w:t xml:space="preserve">、合格的投标人</w:t>
      </w:r>
      <w:bookmarkEnd w:id="59"/>
      <w:r/>
      <w:bookmarkEnd w:id="60"/>
      <w:r/>
      <w:bookmarkEnd w:id="61"/>
      <w:r/>
      <w:r/>
    </w:p>
    <w:p>
      <w:pPr>
        <w:ind w:firstLine="480"/>
        <w:spacing w:line="500" w:lineRule="exact"/>
        <w:rPr>
          <w:rFonts w:ascii="宋体" w:hAnsi="宋体"/>
          <w:bCs/>
          <w:sz w:val="24"/>
        </w:rPr>
      </w:pPr>
      <w:r>
        <w:rPr>
          <w:rFonts w:hint="eastAsia" w:ascii="宋体" w:hAnsi="宋体"/>
          <w:bCs/>
          <w:sz w:val="24"/>
        </w:rPr>
        <w:t xml:space="preserve">2.1满足招标公告中供应商的资格要求的规定。</w:t>
      </w:r>
      <w:r/>
    </w:p>
    <w:p>
      <w:pPr>
        <w:ind w:firstLine="480"/>
        <w:spacing w:line="500" w:lineRule="exact"/>
        <w:rPr>
          <w:rFonts w:ascii="宋体" w:hAnsi="宋体"/>
          <w:bCs/>
          <w:sz w:val="24"/>
        </w:rPr>
      </w:pPr>
      <w:r>
        <w:rPr>
          <w:rFonts w:hint="eastAsia" w:ascii="宋体" w:hAnsi="宋体"/>
          <w:bCs/>
          <w:sz w:val="24"/>
        </w:rPr>
        <w:t xml:space="preserve">2.2 满足本文件实质性条款的规定。</w:t>
      </w:r>
      <w:r/>
    </w:p>
    <w:p>
      <w:pPr>
        <w:ind w:firstLine="600"/>
        <w:rPr>
          <w:rFonts w:ascii="黑体" w:hAnsi="黑体" w:eastAsia="黑体"/>
          <w:sz w:val="30"/>
          <w:szCs w:val="30"/>
        </w:rPr>
      </w:pPr>
      <w:r/>
      <w:bookmarkStart w:id="62" w:name="_Toc513029206"/>
      <w:r/>
      <w:bookmarkStart w:id="63" w:name="_Toc20823278"/>
      <w:r/>
      <w:bookmarkStart w:id="64" w:name="_Toc16938522"/>
      <w:r>
        <w:rPr>
          <w:rFonts w:ascii="黑体" w:hAnsi="黑体" w:eastAsia="黑体"/>
          <w:sz w:val="30"/>
          <w:szCs w:val="30"/>
        </w:rPr>
        <w:t xml:space="preserve">3</w:t>
      </w:r>
      <w:r>
        <w:rPr>
          <w:rFonts w:hint="eastAsia" w:ascii="黑体" w:hAnsi="黑体" w:eastAsia="黑体"/>
          <w:sz w:val="30"/>
          <w:szCs w:val="30"/>
        </w:rPr>
        <w:t xml:space="preserve">、适用法律</w:t>
      </w:r>
      <w:bookmarkEnd w:id="62"/>
      <w:r/>
      <w:bookmarkEnd w:id="63"/>
      <w:r/>
      <w:bookmarkEnd w:id="64"/>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600"/>
        <w:rPr>
          <w:rFonts w:ascii="黑体" w:hAnsi="黑体" w:eastAsia="黑体"/>
          <w:sz w:val="30"/>
          <w:szCs w:val="30"/>
        </w:rPr>
      </w:pPr>
      <w:r/>
      <w:bookmarkStart w:id="65" w:name="_Toc20823279"/>
      <w:r/>
      <w:bookmarkStart w:id="66" w:name="_Toc513029207"/>
      <w:r/>
      <w:bookmarkStart w:id="67" w:name="_Toc462564067"/>
      <w:r/>
      <w:bookmarkStart w:id="68" w:name="_Toc16938523"/>
      <w:r>
        <w:rPr>
          <w:rFonts w:ascii="黑体" w:hAnsi="黑体" w:eastAsia="黑体"/>
          <w:sz w:val="30"/>
          <w:szCs w:val="30"/>
        </w:rPr>
        <w:t xml:space="preserve">4</w:t>
      </w:r>
      <w:r>
        <w:rPr>
          <w:rFonts w:hint="eastAsia" w:ascii="黑体" w:hAnsi="黑体" w:eastAsia="黑体"/>
          <w:sz w:val="30"/>
          <w:szCs w:val="30"/>
        </w:rPr>
        <w:t xml:space="preserve">、投标费用</w:t>
      </w:r>
      <w:bookmarkEnd w:id="65"/>
      <w:r/>
      <w:bookmarkEnd w:id="66"/>
      <w:r/>
      <w:bookmarkEnd w:id="67"/>
      <w:r/>
      <w:bookmarkEnd w:id="68"/>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投标人应自行承担所有与参加投标有关的费用，无论投标过程中的做法和结果如何，靖江市公共资源交易中心（以下简称交易中心）在任何情况下均无义务和责任承担这些费用。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ind w:firstLine="600"/>
        <w:rPr>
          <w:rFonts w:ascii="黑体" w:hAnsi="黑体" w:eastAsia="黑体"/>
          <w:sz w:val="30"/>
          <w:szCs w:val="30"/>
        </w:rPr>
      </w:pPr>
      <w:r>
        <w:rPr>
          <w:rFonts w:hint="eastAsia" w:ascii="黑体" w:hAnsi="黑体" w:eastAsia="黑体"/>
          <w:sz w:val="30"/>
          <w:szCs w:val="30"/>
        </w:rPr>
        <w:t xml:space="preserve">5、招标文件的约束力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640"/>
        <w:rPr>
          <w:sz w:val="32"/>
          <w:szCs w:val="32"/>
        </w:rPr>
        <w:outlineLvl w:val="1"/>
      </w:pPr>
      <w:r/>
      <w:bookmarkStart w:id="69" w:name="_Toc16938525"/>
      <w:r/>
      <w:bookmarkStart w:id="70" w:name="_Toc20823281"/>
      <w:r/>
      <w:bookmarkStart w:id="71" w:name="_Toc513029209"/>
      <w:r/>
      <w:bookmarkStart w:id="72" w:name="_Toc120614215"/>
      <w:r>
        <w:rPr>
          <w:rFonts w:hint="eastAsia"/>
          <w:sz w:val="32"/>
          <w:szCs w:val="32"/>
        </w:rPr>
        <w:t xml:space="preserve">二、招标文件</w:t>
      </w:r>
      <w:bookmarkEnd w:id="69"/>
      <w:r/>
      <w:bookmarkEnd w:id="70"/>
      <w:r/>
      <w:bookmarkEnd w:id="71"/>
      <w:r/>
      <w:bookmarkEnd w:id="72"/>
      <w:r/>
      <w:r/>
    </w:p>
    <w:p>
      <w:pPr>
        <w:ind w:firstLine="600"/>
        <w:rPr>
          <w:rFonts w:ascii="黑体" w:hAnsi="黑体" w:eastAsia="黑体"/>
          <w:sz w:val="30"/>
          <w:szCs w:val="30"/>
        </w:rPr>
      </w:pPr>
      <w:r/>
      <w:bookmarkStart w:id="73" w:name="_Toc16938526"/>
      <w:r/>
      <w:bookmarkStart w:id="74" w:name="_Toc513029210"/>
      <w:r/>
      <w:bookmarkStart w:id="75" w:name="_Toc20823282"/>
      <w:r>
        <w:rPr>
          <w:rFonts w:ascii="黑体" w:hAnsi="黑体" w:eastAsia="黑体"/>
          <w:sz w:val="30"/>
          <w:szCs w:val="30"/>
        </w:rPr>
        <w:t xml:space="preserve">6</w:t>
      </w:r>
      <w:r>
        <w:rPr>
          <w:rFonts w:hint="eastAsia" w:ascii="黑体" w:hAnsi="黑体" w:eastAsia="黑体"/>
          <w:sz w:val="30"/>
          <w:szCs w:val="30"/>
        </w:rPr>
        <w:t xml:space="preserve">、招标文件构成</w:t>
      </w:r>
      <w:bookmarkEnd w:id="73"/>
      <w:r/>
      <w:bookmarkEnd w:id="74"/>
      <w:r/>
      <w:bookmarkEnd w:id="75"/>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（3）合同条款及格式</w:t>
      </w:r>
      <w:r/>
    </w:p>
    <w:p>
      <w:pPr>
        <w:ind w:firstLine="360"/>
        <w:spacing w:line="400" w:lineRule="exact"/>
        <w:rPr>
          <w:rFonts w:ascii="宋体" w:hAnsi="宋体"/>
          <w:sz w:val="24"/>
          <w:szCs w:val="24"/>
        </w:rPr>
      </w:pPr>
      <w:r>
        <w:rPr>
          <w:rFonts w:hint="eastAsia" w:ascii="宋体" w:hAnsi="宋体"/>
          <w:sz w:val="24"/>
          <w:szCs w:val="24"/>
        </w:rPr>
        <w:t xml:space="preserve">（4）项目需求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00"/>
        <w:rPr>
          <w:rFonts w:ascii="黑体" w:hAnsi="黑体" w:eastAsia="黑体"/>
          <w:sz w:val="30"/>
          <w:szCs w:val="30"/>
        </w:rPr>
      </w:pPr>
      <w:r/>
      <w:bookmarkStart w:id="76" w:name="_Toc20823283"/>
      <w:r/>
      <w:bookmarkStart w:id="77" w:name="_Toc462564070"/>
      <w:r/>
      <w:bookmarkStart w:id="78" w:name="_Toc513029211"/>
      <w:r/>
      <w:bookmarkStart w:id="79" w:name="_Toc16938527"/>
      <w:r>
        <w:rPr>
          <w:rFonts w:ascii="黑体" w:hAnsi="黑体" w:eastAsia="黑体"/>
          <w:sz w:val="30"/>
          <w:szCs w:val="30"/>
        </w:rPr>
        <w:t xml:space="preserve">7</w:t>
      </w:r>
      <w:r>
        <w:rPr>
          <w:rFonts w:hint="eastAsia" w:ascii="黑体" w:hAnsi="黑体" w:eastAsia="黑体"/>
          <w:sz w:val="30"/>
          <w:szCs w:val="30"/>
        </w:rPr>
        <w:t xml:space="preserve">、招标文件的澄清</w:t>
      </w:r>
      <w:bookmarkEnd w:id="76"/>
      <w:r/>
      <w:bookmarkEnd w:id="77"/>
      <w:r/>
      <w:bookmarkEnd w:id="78"/>
      <w:r/>
      <w:bookmarkEnd w:id="79"/>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任何要求对招标文件进行澄清的投标人，应在投标截止期十日前按招标公告中的通讯地址，以书面形式通知交易中心。</w:t>
      </w:r>
      <w:r/>
    </w:p>
    <w:p>
      <w:pPr>
        <w:ind w:firstLine="600"/>
        <w:rPr>
          <w:rFonts w:ascii="黑体" w:hAnsi="黑体" w:eastAsia="黑体"/>
          <w:sz w:val="30"/>
          <w:szCs w:val="30"/>
        </w:rPr>
      </w:pPr>
      <w:r/>
      <w:bookmarkStart w:id="80" w:name="_Toc513029212"/>
      <w:r/>
      <w:bookmarkStart w:id="81" w:name="_Toc462564071"/>
      <w:r/>
      <w:bookmarkStart w:id="82" w:name="_Toc20823284"/>
      <w:r/>
      <w:bookmarkStart w:id="83" w:name="_Toc16938528"/>
      <w:r>
        <w:rPr>
          <w:rFonts w:ascii="黑体" w:hAnsi="黑体" w:eastAsia="黑体"/>
          <w:sz w:val="30"/>
          <w:szCs w:val="30"/>
        </w:rPr>
        <w:t xml:space="preserve">8</w:t>
      </w:r>
      <w:r>
        <w:rPr>
          <w:rFonts w:hint="eastAsia" w:ascii="黑体" w:hAnsi="黑体" w:eastAsia="黑体"/>
          <w:sz w:val="30"/>
          <w:szCs w:val="30"/>
        </w:rPr>
        <w:t xml:space="preserve">、招标文件的修改</w:t>
      </w:r>
      <w:bookmarkEnd w:id="80"/>
      <w:r/>
      <w:bookmarkEnd w:id="81"/>
      <w:r/>
      <w:bookmarkEnd w:id="82"/>
      <w:r/>
      <w:bookmarkEnd w:id="83"/>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640"/>
        <w:rPr>
          <w:sz w:val="32"/>
          <w:szCs w:val="32"/>
        </w:rPr>
        <w:outlineLvl w:val="1"/>
      </w:pPr>
      <w:r/>
      <w:bookmarkStart w:id="84" w:name="_Toc513029213"/>
      <w:r/>
      <w:bookmarkStart w:id="85" w:name="_Toc20823285"/>
      <w:r/>
      <w:bookmarkStart w:id="86" w:name="_Toc120614216"/>
      <w:r/>
      <w:bookmarkStart w:id="87" w:name="_Toc462564072"/>
      <w:r/>
      <w:bookmarkStart w:id="88" w:name="_Toc16938529"/>
      <w:r>
        <w:rPr>
          <w:rFonts w:hint="eastAsia"/>
          <w:sz w:val="32"/>
          <w:szCs w:val="32"/>
        </w:rPr>
        <w:t xml:space="preserve">三、投标文件的编制</w:t>
      </w:r>
      <w:bookmarkEnd w:id="84"/>
      <w:r/>
      <w:bookmarkEnd w:id="85"/>
      <w:r/>
      <w:bookmarkEnd w:id="86"/>
      <w:r/>
      <w:bookmarkEnd w:id="87"/>
      <w:r/>
      <w:bookmarkEnd w:id="88"/>
      <w:r/>
      <w:r/>
    </w:p>
    <w:p>
      <w:pPr>
        <w:ind w:firstLine="600"/>
        <w:rPr>
          <w:rFonts w:ascii="黑体" w:hAnsi="黑体" w:eastAsia="黑体"/>
          <w:sz w:val="30"/>
          <w:szCs w:val="30"/>
        </w:rPr>
      </w:pPr>
      <w:r/>
      <w:bookmarkStart w:id="89" w:name="_Toc513029214"/>
      <w:r/>
      <w:bookmarkStart w:id="90" w:name="_Toc462564073"/>
      <w:r/>
      <w:bookmarkStart w:id="91" w:name="_Toc16938530"/>
      <w:r/>
      <w:bookmarkStart w:id="92" w:name="_Toc20823286"/>
      <w:r>
        <w:rPr>
          <w:rFonts w:ascii="黑体" w:hAnsi="黑体" w:eastAsia="黑体"/>
          <w:sz w:val="30"/>
          <w:szCs w:val="30"/>
        </w:rPr>
        <w:t xml:space="preserve">9</w:t>
      </w:r>
      <w:r>
        <w:rPr>
          <w:rFonts w:hint="eastAsia" w:ascii="黑体" w:hAnsi="黑体" w:eastAsia="黑体"/>
          <w:sz w:val="30"/>
          <w:szCs w:val="30"/>
        </w:rPr>
        <w:t xml:space="preserve">、投标文件的语言及度量衡单位</w:t>
      </w:r>
      <w:bookmarkEnd w:id="89"/>
      <w:r/>
      <w:bookmarkEnd w:id="90"/>
      <w:r/>
      <w:bookmarkEnd w:id="91"/>
      <w:r/>
      <w:bookmarkEnd w:id="92"/>
      <w:r/>
      <w:r/>
    </w:p>
    <w:p>
      <w:pPr>
        <w:ind w:firstLine="480"/>
        <w:spacing w:line="500" w:lineRule="exact"/>
        <w:rPr>
          <w:rFonts w:ascii="宋体" w:hAnsi="宋体"/>
          <w:bCs/>
          <w:sz w:val="24"/>
        </w:rPr>
      </w:pPr>
      <w:r>
        <w:rPr>
          <w:rFonts w:hint="eastAsia" w:ascii="宋体" w:hAnsi="宋体"/>
          <w:bCs/>
          <w:sz w:val="24"/>
        </w:rPr>
        <w:t xml:space="preserve">9.1 投标人提交的投标文件以及投标人与交易中心就有关投标的所有来往通知、函件和文件均应使用</w:t>
      </w:r>
      <w:r>
        <w:rPr>
          <w:rFonts w:hint="eastAsia" w:ascii="宋体" w:hAnsi="宋体"/>
          <w:b/>
          <w:sz w:val="24"/>
        </w:rPr>
        <w:t xml:space="preserve">简体中文</w:t>
      </w:r>
      <w:r>
        <w:rPr>
          <w:rFonts w:hint="eastAsia" w:ascii="宋体" w:hAnsi="宋体"/>
          <w:bCs/>
          <w:sz w:val="24"/>
        </w:rPr>
        <w:t xml:space="preserve">。</w:t>
      </w:r>
      <w:r/>
    </w:p>
    <w:p>
      <w:pPr>
        <w:ind w:firstLine="480"/>
        <w:spacing w:line="500" w:lineRule="exact"/>
        <w:rPr>
          <w:rFonts w:ascii="宋体" w:hAnsi="宋体"/>
          <w:bCs/>
          <w:sz w:val="24"/>
        </w:rPr>
      </w:pPr>
      <w:r>
        <w:rPr>
          <w:rFonts w:hint="eastAsia" w:ascii="宋体" w:hAnsi="宋体"/>
          <w:bCs/>
          <w:sz w:val="24"/>
        </w:rPr>
        <w:t xml:space="preserve">9.2 除技术性能另有规定外，投标文件所使用的度量衡单位，均须采用国家法定计量单位。</w:t>
      </w:r>
      <w:r/>
    </w:p>
    <w:p>
      <w:pPr>
        <w:ind w:firstLine="600"/>
        <w:rPr>
          <w:rFonts w:ascii="黑体" w:hAnsi="黑体" w:eastAsia="黑体"/>
          <w:sz w:val="30"/>
          <w:szCs w:val="30"/>
        </w:rPr>
      </w:pPr>
      <w:r/>
      <w:bookmarkStart w:id="93" w:name="_Toc513029215"/>
      <w:r/>
      <w:bookmarkStart w:id="94" w:name="_Toc20823287"/>
      <w:r/>
      <w:bookmarkStart w:id="95" w:name="_Toc16938531"/>
      <w:r/>
      <w:bookmarkStart w:id="96" w:name="_Toc462564074"/>
      <w:r>
        <w:rPr>
          <w:rFonts w:ascii="黑体" w:hAnsi="黑体" w:eastAsia="黑体"/>
          <w:sz w:val="30"/>
          <w:szCs w:val="30"/>
        </w:rPr>
        <w:t xml:space="preserve">10</w:t>
      </w:r>
      <w:r>
        <w:rPr>
          <w:rFonts w:hint="eastAsia" w:ascii="黑体" w:hAnsi="黑体" w:eastAsia="黑体"/>
          <w:sz w:val="30"/>
          <w:szCs w:val="30"/>
        </w:rPr>
        <w:t xml:space="preserve">、投标文件构成</w:t>
      </w:r>
      <w:bookmarkEnd w:id="93"/>
      <w:r/>
      <w:bookmarkEnd w:id="94"/>
      <w:r/>
      <w:bookmarkEnd w:id="95"/>
      <w:r/>
      <w:bookmarkEnd w:id="96"/>
      <w:r/>
      <w:r/>
    </w:p>
    <w:p>
      <w:pPr>
        <w:ind w:firstLine="480"/>
        <w:spacing w:line="500" w:lineRule="exact"/>
        <w:rPr>
          <w:rFonts w:ascii="宋体" w:hAnsi="宋体"/>
          <w:bCs/>
          <w:sz w:val="24"/>
        </w:rPr>
      </w:pPr>
      <w:r>
        <w:rPr>
          <w:rFonts w:hint="eastAsia" w:ascii="宋体" w:hAnsi="宋体"/>
          <w:bCs/>
          <w:sz w:val="24"/>
        </w:rPr>
        <w:t xml:space="preserve">10.1 投标人编写的投标文件应包括资信证明文件、投标函、法定代表人身份证明或法人授权书、开标一览表、分项报价表、技术要求响应及偏离表、商务要求响应及偏离表及投标服务说明、项目管理一览表、招标文件中规定要求提供的证明材料和投标人认为需要提供的其他材料等部分。</w:t>
      </w:r>
      <w:r/>
    </w:p>
    <w:p>
      <w:pPr>
        <w:ind w:firstLine="480"/>
        <w:spacing w:line="5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ind w:firstLine="600"/>
        <w:rPr>
          <w:rFonts w:ascii="黑体" w:hAnsi="黑体" w:eastAsia="黑体"/>
          <w:sz w:val="30"/>
          <w:szCs w:val="30"/>
        </w:rPr>
      </w:pPr>
      <w:r/>
      <w:bookmarkStart w:id="97" w:name="_Hlt26668975"/>
      <w:r/>
      <w:bookmarkEnd w:id="97"/>
      <w:r/>
      <w:bookmarkStart w:id="98" w:name="_Hlt26670360"/>
      <w:r/>
      <w:bookmarkEnd w:id="98"/>
      <w:r/>
      <w:bookmarkStart w:id="99" w:name="_Hlt26954838"/>
      <w:r/>
      <w:bookmarkEnd w:id="99"/>
      <w:r/>
      <w:bookmarkStart w:id="100" w:name="_Toc49090509"/>
      <w:r/>
      <w:bookmarkStart w:id="101" w:name="_Toc513029219"/>
      <w:r/>
      <w:bookmarkStart w:id="102" w:name="_Toc14577357"/>
      <w:r/>
      <w:bookmarkStart w:id="103" w:name="_Toc513029216"/>
      <w:r/>
      <w:bookmarkStart w:id="104" w:name="_Toc14577354"/>
      <w:r/>
      <w:bookmarkStart w:id="105" w:name="_Toc49090507"/>
      <w:r>
        <w:rPr>
          <w:rFonts w:ascii="黑体" w:hAnsi="黑体" w:eastAsia="黑体"/>
          <w:sz w:val="30"/>
          <w:szCs w:val="30"/>
        </w:rPr>
        <w:t xml:space="preserve">11</w:t>
      </w:r>
      <w:r>
        <w:rPr>
          <w:rFonts w:hint="eastAsia" w:ascii="黑体" w:hAnsi="黑体" w:eastAsia="黑体"/>
          <w:sz w:val="30"/>
          <w:szCs w:val="30"/>
        </w:rPr>
        <w:t xml:space="preserve">、证明投标人资格及符合招标文件规定的文件</w:t>
      </w:r>
      <w:bookmarkEnd w:id="100"/>
      <w:r/>
      <w:bookmarkEnd w:id="101"/>
      <w:r/>
      <w:bookmarkEnd w:id="102"/>
      <w:r/>
      <w:r/>
    </w:p>
    <w:p>
      <w:pPr>
        <w:ind w:firstLine="480"/>
        <w:spacing w:line="500" w:lineRule="exact"/>
        <w:rPr>
          <w:rFonts w:ascii="宋体" w:hAnsi="宋体"/>
          <w:sz w:val="24"/>
        </w:rPr>
      </w:pPr>
      <w:r>
        <w:rPr>
          <w:rFonts w:hint="eastAsia" w:ascii="宋体" w:hAnsi="宋体"/>
          <w:sz w:val="24"/>
        </w:rPr>
        <w:t xml:space="preserve">11.1</w:t>
      </w:r>
      <w:bookmarkStart w:id="106" w:name="_Hlt26668999"/>
      <w:r/>
      <w:bookmarkEnd w:id="106"/>
      <w:r>
        <w:rPr>
          <w:rFonts w:hint="eastAsia" w:ascii="宋体" w:hAnsi="宋体"/>
          <w:sz w:val="24"/>
        </w:rPr>
        <w:t xml:space="preserve">投标人应按要求提交资格证明文件及符合招标文件规定的文件。</w:t>
      </w:r>
      <w:r/>
    </w:p>
    <w:p>
      <w:pPr>
        <w:ind w:firstLine="480"/>
        <w:spacing w:line="500" w:lineRule="exact"/>
        <w:rPr>
          <w:rFonts w:ascii="宋体" w:hAnsi="宋体"/>
          <w:sz w:val="24"/>
        </w:rPr>
      </w:pPr>
      <w:r>
        <w:rPr>
          <w:rFonts w:hint="eastAsia" w:ascii="宋体" w:hAnsi="宋体"/>
          <w:sz w:val="24"/>
        </w:rPr>
        <w:t xml:space="preserve">11.2投标人应提交证明其有资格参加投标和中标后有能力独立履行合同的文件。</w:t>
      </w:r>
      <w:r/>
    </w:p>
    <w:p>
      <w:pPr>
        <w:ind w:firstLine="480"/>
        <w:spacing w:line="500" w:lineRule="exact"/>
        <w:rPr>
          <w:rFonts w:ascii="宋体" w:hAnsi="宋体"/>
          <w:sz w:val="24"/>
        </w:rPr>
      </w:pPr>
      <w:r>
        <w:rPr>
          <w:rFonts w:hint="eastAsia" w:ascii="宋体" w:hAnsi="宋体"/>
          <w:sz w:val="24"/>
        </w:rPr>
        <w:t xml:space="preserve">11.3投标人除必须具有履行合同所需提供的货物以及服务的能力外，还必须具备相应的财务、技术方面的能力。</w:t>
      </w:r>
      <w:r/>
    </w:p>
    <w:p>
      <w:pPr>
        <w:spacing w:line="480" w:lineRule="exact"/>
        <w:rPr>
          <w:rFonts w:ascii="宋体" w:hAnsi="宋体"/>
          <w:sz w:val="24"/>
          <w:szCs w:val="24"/>
        </w:rPr>
      </w:pPr>
      <w:r>
        <w:rPr>
          <w:rFonts w:hint="eastAsia" w:ascii="宋体" w:hAnsi="宋体"/>
          <w:sz w:val="24"/>
          <w:szCs w:val="24"/>
        </w:rPr>
        <w:t xml:space="preserve">    11.4投标人应提交根据合同要求提供的证明产品质量合格以及符合招标文件规定的证明文件。</w:t>
      </w:r>
      <w:r/>
    </w:p>
    <w:p>
      <w:pPr>
        <w:spacing w:line="480" w:lineRule="exact"/>
        <w:rPr>
          <w:rFonts w:ascii="宋体" w:hAnsi="宋体"/>
          <w:sz w:val="24"/>
          <w:szCs w:val="24"/>
        </w:rPr>
      </w:pPr>
      <w:r>
        <w:rPr>
          <w:rFonts w:hint="eastAsia" w:ascii="宋体" w:hAnsi="宋体"/>
          <w:sz w:val="24"/>
          <w:szCs w:val="24"/>
        </w:rPr>
        <w:t xml:space="preserve">    11.5证明投标人所提供产品与招标文件的要求相一致的文件可以是手册、图纸、文字资料和数据</w:t>
      </w:r>
      <w:r>
        <w:rPr>
          <w:rFonts w:hint="eastAsia" w:ascii="宋体" w:hAnsi="宋体"/>
          <w:bCs/>
          <w:sz w:val="24"/>
        </w:rPr>
        <w:t xml:space="preserve">。</w:t>
      </w:r>
      <w:bookmarkEnd w:id="103"/>
      <w:r/>
      <w:bookmarkEnd w:id="104"/>
      <w:r/>
      <w:bookmarkEnd w:id="105"/>
      <w:r/>
      <w:r/>
    </w:p>
    <w:p>
      <w:pPr>
        <w:ind w:firstLine="600"/>
        <w:rPr>
          <w:rFonts w:ascii="黑体" w:hAnsi="黑体" w:eastAsia="黑体"/>
          <w:sz w:val="30"/>
          <w:szCs w:val="30"/>
        </w:rPr>
      </w:pPr>
      <w:r/>
      <w:bookmarkStart w:id="107" w:name="_Toc14577355"/>
      <w:r/>
      <w:bookmarkStart w:id="108" w:name="_Toc49090508"/>
      <w:r>
        <w:rPr>
          <w:rFonts w:ascii="黑体" w:hAnsi="黑体" w:eastAsia="黑体"/>
          <w:sz w:val="30"/>
          <w:szCs w:val="30"/>
        </w:rPr>
        <w:t xml:space="preserve">12</w:t>
      </w:r>
      <w:r>
        <w:rPr>
          <w:rFonts w:hint="eastAsia" w:ascii="黑体" w:hAnsi="黑体" w:eastAsia="黑体"/>
          <w:sz w:val="30"/>
          <w:szCs w:val="30"/>
        </w:rPr>
        <w:t xml:space="preserve">、投标分项报价</w:t>
      </w:r>
      <w:bookmarkEnd w:id="107"/>
      <w:r/>
      <w:bookmarkStart w:id="109" w:name="_Hlt26670373"/>
      <w:r/>
      <w:bookmarkEnd w:id="109"/>
      <w:r>
        <w:rPr>
          <w:rFonts w:hint="eastAsia" w:ascii="黑体" w:hAnsi="黑体" w:eastAsia="黑体"/>
          <w:sz w:val="30"/>
          <w:szCs w:val="30"/>
        </w:rPr>
        <w:t xml:space="preserve">表</w:t>
      </w:r>
      <w:bookmarkEnd w:id="108"/>
      <w:r/>
      <w:r/>
    </w:p>
    <w:p>
      <w:pPr>
        <w:ind w:firstLine="480"/>
        <w:spacing w:line="500" w:lineRule="exact"/>
        <w:rPr>
          <w:rFonts w:ascii="宋体" w:hAnsi="宋体"/>
          <w:bCs/>
          <w:sz w:val="24"/>
        </w:rPr>
      </w:pPr>
      <w:r>
        <w:rPr>
          <w:rFonts w:hint="eastAsia" w:ascii="宋体" w:hAnsi="宋体"/>
          <w:bCs/>
          <w:sz w:val="24"/>
        </w:rPr>
        <w:t xml:space="preserve">12.1</w:t>
      </w:r>
      <w:bookmarkStart w:id="110" w:name="_Hlt26954848"/>
      <w:r/>
      <w:bookmarkEnd w:id="110"/>
      <w:r/>
      <w:bookmarkStart w:id="111" w:name="_Hlt26954846"/>
      <w:r/>
      <w:bookmarkEnd w:id="111"/>
      <w:r/>
      <w:bookmarkStart w:id="112" w:name="_Hlt26670486"/>
      <w:r/>
      <w:bookmarkEnd w:id="112"/>
      <w:r/>
      <w:bookmarkStart w:id="113" w:name="_Hlt26670482"/>
      <w:r/>
      <w:bookmarkEnd w:id="113"/>
      <w:r/>
      <w:bookmarkStart w:id="114" w:name="_Hlt26954731"/>
      <w:r/>
      <w:bookmarkEnd w:id="114"/>
      <w:r>
        <w:rPr>
          <w:rFonts w:hint="eastAsia" w:ascii="宋体" w:hAnsi="宋体"/>
          <w:sz w:val="24"/>
        </w:rPr>
        <w:t xml:space="preserve"> 投</w:t>
      </w:r>
      <w:bookmarkStart w:id="115" w:name="_Hlt26954840"/>
      <w:r/>
      <w:bookmarkEnd w:id="115"/>
      <w:r>
        <w:rPr>
          <w:rFonts w:hint="eastAsia" w:ascii="宋体" w:hAnsi="宋体"/>
          <w:sz w:val="24"/>
        </w:rPr>
        <w:t xml:space="preserve">标人按照招标文件规定格式填报投标分项报价表</w:t>
      </w:r>
      <w:bookmarkStart w:id="116" w:name="_Hlt26670399"/>
      <w:r/>
      <w:bookmarkEnd w:id="116"/>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80"/>
        <w:spacing w:line="500" w:lineRule="exact"/>
        <w:rPr>
          <w:rFonts w:ascii="黑体" w:hAnsi="黑体" w:eastAsia="黑体"/>
          <w:sz w:val="30"/>
          <w:szCs w:val="30"/>
        </w:rPr>
      </w:pPr>
      <w:r>
        <w:rPr>
          <w:rFonts w:ascii="黑体" w:hAnsi="黑体" w:eastAsia="黑体"/>
          <w:sz w:val="30"/>
          <w:szCs w:val="30"/>
        </w:rPr>
        <w:t xml:space="preserve">13</w:t>
      </w:r>
      <w:r>
        <w:rPr>
          <w:rFonts w:hint="eastAsia" w:ascii="黑体" w:hAnsi="黑体" w:eastAsia="黑体"/>
          <w:sz w:val="30"/>
          <w:szCs w:val="30"/>
        </w:rPr>
        <w:t xml:space="preserve">、技术参数响应及偏离表、商务条款响应及偏离表</w:t>
      </w:r>
      <w:r/>
    </w:p>
    <w:p>
      <w:pPr>
        <w:ind w:firstLine="480"/>
        <w:spacing w:line="500" w:lineRule="exact"/>
        <w:rPr>
          <w:rFonts w:ascii="宋体" w:hAnsi="Arial" w:cs="宋体"/>
          <w:sz w:val="24"/>
          <w:lang w:val="zh-CN"/>
        </w:rPr>
      </w:pPr>
      <w:r>
        <w:rPr>
          <w:rFonts w:hint="eastAsia" w:ascii="宋体" w:hAnsi="Arial" w:cs="宋体"/>
          <w:bCs/>
          <w:sz w:val="24"/>
          <w:lang w:val="zh-CN"/>
        </w:rPr>
        <w:t xml:space="preserve">13.1</w:t>
      </w:r>
      <w:r>
        <w:rPr>
          <w:rFonts w:hint="eastAsia" w:ascii="宋体" w:hAnsi="Arial" w:cs="宋体"/>
          <w:sz w:val="24"/>
          <w:lang w:val="zh-CN"/>
        </w:rPr>
        <w:t xml:space="preserve"> 对招标文件中的技术与商务条款要求逐项作出响应或偏离，并说明原因；</w:t>
      </w:r>
      <w:r/>
    </w:p>
    <w:p>
      <w:pPr>
        <w:ind w:firstLine="600"/>
        <w:rPr>
          <w:rFonts w:ascii="宋体" w:hAnsi="Arial" w:cs="宋体"/>
          <w:sz w:val="24"/>
          <w:lang w:val="zh-CN"/>
        </w:rPr>
      </w:pPr>
      <w:r>
        <w:rPr>
          <w:rFonts w:hint="eastAsia" w:ascii="宋体" w:hAnsi="Arial" w:cs="宋体"/>
          <w:sz w:val="24"/>
          <w:lang w:val="zh-CN"/>
        </w:rPr>
        <w:t xml:space="preserve">13.2 投标人需按照招标文件要求，在投标文件中提供与技术要求和商务要求相关的证明材料。</w:t>
      </w:r>
      <w:r/>
    </w:p>
    <w:p>
      <w:pPr>
        <w:ind w:firstLine="600"/>
        <w:rPr>
          <w:rFonts w:ascii="黑体" w:hAnsi="黑体" w:eastAsia="黑体"/>
          <w:sz w:val="30"/>
          <w:szCs w:val="30"/>
        </w:rPr>
      </w:pPr>
      <w:r>
        <w:rPr>
          <w:rFonts w:ascii="黑体" w:hAnsi="黑体" w:eastAsia="黑体"/>
          <w:sz w:val="30"/>
          <w:szCs w:val="30"/>
        </w:rPr>
        <w:t xml:space="preserve">14</w:t>
      </w:r>
      <w:r>
        <w:rPr>
          <w:rFonts w:hint="eastAsia" w:ascii="黑体" w:hAnsi="黑体" w:eastAsia="黑体"/>
          <w:sz w:val="30"/>
          <w:szCs w:val="30"/>
        </w:rPr>
        <w:t xml:space="preserve">、服务承诺及售后服务机构、人员的情况介绍</w:t>
      </w:r>
      <w:r/>
    </w:p>
    <w:p>
      <w:pPr>
        <w:spacing w:line="480" w:lineRule="exact"/>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w:t>
      </w:r>
      <w:r>
        <w:rPr>
          <w:rFonts w:hint="eastAsia" w:ascii="宋体" w:hAnsi="宋体"/>
          <w:sz w:val="24"/>
          <w:szCs w:val="24"/>
        </w:rPr>
        <w:t xml:space="preserve">投标人的服务承诺应按不低于招标文件中商务要求的标准。</w:t>
      </w:r>
      <w:r/>
    </w:p>
    <w:p>
      <w:pPr>
        <w:ind w:firstLine="480"/>
        <w:spacing w:line="480" w:lineRule="exact"/>
        <w:rPr>
          <w:rFonts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ind w:firstLine="600"/>
        <w:rPr>
          <w:rFonts w:ascii="黑体" w:hAnsi="黑体" w:eastAsia="黑体"/>
          <w:sz w:val="30"/>
          <w:szCs w:val="30"/>
        </w:rPr>
      </w:pPr>
      <w:r/>
      <w:bookmarkStart w:id="117" w:name="_Toc14577359"/>
      <w:r/>
      <w:bookmarkStart w:id="118" w:name="_Toc49090510"/>
      <w:r>
        <w:rPr>
          <w:rFonts w:ascii="黑体" w:hAnsi="黑体" w:eastAsia="黑体"/>
          <w:sz w:val="30"/>
          <w:szCs w:val="30"/>
        </w:rPr>
        <w:t xml:space="preserve">15</w:t>
      </w:r>
      <w:r>
        <w:rPr>
          <w:rFonts w:hint="eastAsia" w:ascii="黑体" w:hAnsi="黑体" w:eastAsia="黑体"/>
          <w:sz w:val="30"/>
          <w:szCs w:val="3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w:t>
      </w:r>
      <w:r>
        <w:rPr>
          <w:rFonts w:hint="eastAsia" w:ascii="宋体" w:hAnsi="宋体"/>
          <w:bCs/>
          <w:sz w:val="24"/>
        </w:rPr>
        <w:t xml:space="preserve">开标一览表中的价格应与投标文件中分项报价表中的价格一致，如不一致，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7"/>
      <w:r/>
      <w:bookmarkEnd w:id="118"/>
      <w:r/>
      <w:r/>
    </w:p>
    <w:p>
      <w:pPr>
        <w:ind w:firstLine="600"/>
        <w:rPr>
          <w:rFonts w:ascii="黑体" w:hAnsi="黑体" w:eastAsia="黑体"/>
          <w:sz w:val="30"/>
          <w:szCs w:val="30"/>
        </w:rPr>
      </w:pPr>
      <w:r/>
      <w:bookmarkStart w:id="119" w:name="_Toc49090511"/>
      <w:r/>
      <w:bookmarkStart w:id="120" w:name="_Toc14577360"/>
      <w:r>
        <w:rPr>
          <w:rFonts w:ascii="黑体" w:hAnsi="黑体" w:eastAsia="黑体"/>
          <w:sz w:val="30"/>
          <w:szCs w:val="30"/>
        </w:rPr>
        <w:t xml:space="preserve">16</w:t>
      </w:r>
      <w:r>
        <w:rPr>
          <w:rFonts w:hint="eastAsia" w:ascii="黑体" w:hAnsi="黑体" w:eastAsia="黑体"/>
          <w:sz w:val="30"/>
          <w:szCs w:val="30"/>
        </w:rPr>
        <w:t xml:space="preserve">、投标有效期</w:t>
      </w:r>
      <w:bookmarkEnd w:id="119"/>
      <w:r/>
      <w:bookmarkEnd w:id="120"/>
      <w:r/>
      <w:r/>
    </w:p>
    <w:p>
      <w:pPr>
        <w:ind w:firstLine="480"/>
        <w:spacing w:line="500" w:lineRule="exact"/>
        <w:rPr>
          <w:rFonts w:ascii="宋体" w:hAnsi="宋体"/>
          <w:bCs/>
          <w:sz w:val="24"/>
        </w:rPr>
      </w:pPr>
      <w:r>
        <w:rPr>
          <w:rFonts w:hint="eastAsia" w:ascii="宋体" w:hAnsi="宋体"/>
          <w:bCs/>
          <w:sz w:val="24"/>
        </w:rPr>
        <w:t xml:space="preserve">16.1投标有效期为交易中心规定的开标之日后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。投标有效期比规定短的将被视为非响应性投标而予以拒绝。</w:t>
      </w:r>
      <w:r/>
    </w:p>
    <w:p>
      <w:pPr>
        <w:ind w:firstLine="600"/>
        <w:rPr>
          <w:rFonts w:ascii="黑体" w:hAnsi="黑体" w:eastAsia="黑体"/>
          <w:sz w:val="30"/>
          <w:szCs w:val="30"/>
        </w:rPr>
      </w:pPr>
      <w:r>
        <w:rPr>
          <w:rFonts w:ascii="黑体" w:hAnsi="黑体" w:eastAsia="黑体"/>
          <w:sz w:val="30"/>
          <w:szCs w:val="30"/>
        </w:rPr>
        <w:t xml:space="preserve">17</w:t>
      </w:r>
      <w:r>
        <w:rPr>
          <w:rFonts w:hint="eastAsia" w:ascii="黑体" w:hAnsi="黑体" w:eastAsia="黑体"/>
          <w:sz w:val="30"/>
          <w:szCs w:val="30"/>
        </w:rPr>
        <w:t xml:space="preserve">、投标有效期的延长</w:t>
      </w:r>
      <w:r/>
    </w:p>
    <w:p>
      <w:pPr>
        <w:ind w:firstLine="480"/>
        <w:spacing w:line="500" w:lineRule="exact"/>
        <w:rPr>
          <w:rFonts w:ascii="宋体" w:hAnsi="宋体"/>
          <w:bCs/>
          <w:sz w:val="24"/>
        </w:rPr>
      </w:pPr>
      <w:r>
        <w:rPr>
          <w:rFonts w:hint="eastAsia" w:ascii="宋体" w:hAnsi="宋体"/>
          <w:bCs/>
          <w:sz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ind w:firstLine="640"/>
        <w:rPr>
          <w:sz w:val="32"/>
          <w:szCs w:val="32"/>
        </w:rPr>
        <w:outlineLvl w:val="1"/>
      </w:pPr>
      <w:r/>
      <w:bookmarkStart w:id="121" w:name="_Hlt26954739"/>
      <w:r/>
      <w:bookmarkEnd w:id="121"/>
      <w:r/>
      <w:bookmarkStart w:id="122" w:name="_Hlt26954852"/>
      <w:r/>
      <w:bookmarkEnd w:id="122"/>
      <w:r/>
      <w:bookmarkStart w:id="123" w:name="_Toc120614217"/>
      <w:r/>
      <w:bookmarkStart w:id="124" w:name="_Toc513029224"/>
      <w:r/>
      <w:bookmarkStart w:id="125" w:name="_Toc20823296"/>
      <w:r/>
      <w:bookmarkStart w:id="126" w:name="_Toc16938540"/>
      <w:r>
        <w:rPr>
          <w:rFonts w:hint="eastAsia"/>
          <w:sz w:val="32"/>
          <w:szCs w:val="32"/>
        </w:rPr>
        <w:t xml:space="preserve">四、投标文件的递交</w:t>
      </w:r>
      <w:bookmarkEnd w:id="123"/>
      <w:r/>
      <w:bookmarkEnd w:id="124"/>
      <w:r/>
      <w:bookmarkEnd w:id="125"/>
      <w:r/>
      <w:bookmarkEnd w:id="126"/>
      <w:r/>
      <w:r/>
    </w:p>
    <w:p>
      <w:pPr>
        <w:ind w:firstLine="600"/>
        <w:rPr>
          <w:rFonts w:ascii="黑体" w:hAnsi="黑体" w:eastAsia="黑体"/>
          <w:sz w:val="30"/>
          <w:szCs w:val="30"/>
        </w:rPr>
      </w:pPr>
      <w:r/>
      <w:bookmarkStart w:id="127" w:name="_Toc513029225"/>
      <w:r/>
      <w:bookmarkStart w:id="128" w:name="_Toc462564084"/>
      <w:r/>
      <w:bookmarkStart w:id="129" w:name="_Toc20823297"/>
      <w:r/>
      <w:bookmarkStart w:id="130" w:name="_Toc16938541"/>
      <w:r>
        <w:rPr>
          <w:rFonts w:ascii="黑体" w:hAnsi="黑体" w:eastAsia="黑体"/>
          <w:sz w:val="30"/>
          <w:szCs w:val="30"/>
        </w:rPr>
        <w:t xml:space="preserve">18</w:t>
      </w:r>
      <w:r>
        <w:rPr>
          <w:rFonts w:hint="eastAsia" w:ascii="黑体" w:hAnsi="黑体" w:eastAsia="黑体"/>
          <w:sz w:val="30"/>
          <w:szCs w:val="30"/>
        </w:rPr>
        <w:t xml:space="preserve">、电子投标文件</w:t>
      </w:r>
      <w:bookmarkEnd w:id="127"/>
      <w:r/>
      <w:bookmarkEnd w:id="128"/>
      <w:r/>
      <w:bookmarkEnd w:id="129"/>
      <w:r/>
      <w:bookmarkEnd w:id="130"/>
      <w:r>
        <w:rPr>
          <w:rFonts w:hint="eastAsia" w:ascii="黑体" w:hAnsi="黑体" w:eastAsia="黑体"/>
          <w:sz w:val="30"/>
          <w:szCs w:val="30"/>
        </w:rPr>
        <w:t xml:space="preserve">的递交</w:t>
      </w:r>
      <w:r/>
    </w:p>
    <w:p>
      <w:pPr>
        <w:pStyle w:val="961"/>
        <w:ind w:left="525"/>
        <w:rPr>
          <w:rFonts w:ascii="宋体" w:hAnsi="宋体"/>
          <w:bCs/>
          <w:sz w:val="24"/>
          <w:szCs w:val="22"/>
        </w:rPr>
      </w:pPr>
      <w:r>
        <w:rPr>
          <w:rFonts w:hint="eastAsia" w:ascii="宋体" w:hAnsi="宋体"/>
          <w:bCs/>
          <w:sz w:val="24"/>
          <w:szCs w:val="22"/>
        </w:rPr>
        <w:t xml:space="preserve">18.1投标人应当按照《操作手册》规定，在投标截止时间前制作并上传电</w:t>
      </w:r>
      <w:r/>
    </w:p>
    <w:p>
      <w:pPr>
        <w:pStyle w:val="961"/>
        <w:rPr>
          <w:rFonts w:ascii="宋体" w:hAnsi="宋体"/>
          <w:bCs/>
          <w:sz w:val="24"/>
          <w:szCs w:val="22"/>
        </w:rPr>
      </w:pPr>
      <w:r>
        <w:rPr>
          <w:rFonts w:hint="eastAsia" w:ascii="宋体" w:hAnsi="宋体"/>
          <w:bCs/>
          <w:sz w:val="24"/>
          <w:szCs w:val="22"/>
        </w:rPr>
        <w:t xml:space="preserve">子投标文件。</w:t>
      </w:r>
      <w:bookmarkStart w:id="131" w:name="_Toc513029226"/>
      <w:r/>
      <w:bookmarkStart w:id="132" w:name="_Toc16938542"/>
      <w:r/>
      <w:bookmarkStart w:id="133" w:name="_Toc20823298"/>
      <w:r/>
      <w:r/>
    </w:p>
    <w:p>
      <w:pPr>
        <w:ind w:firstLine="600"/>
        <w:rPr>
          <w:rFonts w:ascii="黑体" w:hAnsi="黑体" w:eastAsia="黑体"/>
          <w:sz w:val="30"/>
          <w:szCs w:val="30"/>
        </w:rPr>
      </w:pPr>
      <w:r>
        <w:rPr>
          <w:rFonts w:ascii="黑体" w:hAnsi="黑体" w:eastAsia="黑体"/>
          <w:sz w:val="30"/>
          <w:szCs w:val="30"/>
        </w:rPr>
        <w:t xml:space="preserve">19</w:t>
      </w:r>
      <w:r>
        <w:rPr>
          <w:rFonts w:hint="eastAsia" w:ascii="黑体" w:hAnsi="黑体" w:eastAsia="黑体"/>
          <w:sz w:val="30"/>
          <w:szCs w:val="30"/>
        </w:rPr>
        <w:t xml:space="preserve">、投标截止日期</w:t>
      </w:r>
      <w:bookmarkEnd w:id="131"/>
      <w:r/>
      <w:bookmarkEnd w:id="132"/>
      <w:r/>
      <w:bookmarkEnd w:id="133"/>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投标人应充分考虑到网络环境、网络带宽等风险因素，如因投标人自身原因造成的电子投标文件上传不成功由投标人自行承担全部责任。</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交易中心可以按照规定，通过修改招标文件酌情延长投标截止日期，在此情况下，投标人的所有权利和义务以及投标人受制的截止日期均应以延长后新的截止日期为准。</w:t>
      </w:r>
      <w:r/>
    </w:p>
    <w:p>
      <w:pPr>
        <w:ind w:firstLine="600"/>
        <w:rPr>
          <w:rFonts w:ascii="黑体" w:hAnsi="黑体" w:eastAsia="黑体"/>
          <w:sz w:val="30"/>
          <w:szCs w:val="30"/>
        </w:rPr>
      </w:pPr>
      <w:r/>
      <w:bookmarkStart w:id="134" w:name="_Toc513029227"/>
      <w:r/>
      <w:bookmarkStart w:id="135" w:name="_Toc16938543"/>
      <w:r/>
      <w:bookmarkStart w:id="136" w:name="_Toc20823299"/>
      <w:r>
        <w:rPr>
          <w:rFonts w:ascii="黑体" w:hAnsi="黑体" w:eastAsia="黑体"/>
          <w:sz w:val="30"/>
          <w:szCs w:val="30"/>
        </w:rPr>
        <w:t xml:space="preserve">20</w:t>
      </w:r>
      <w:r>
        <w:rPr>
          <w:rFonts w:hint="eastAsia" w:ascii="黑体" w:hAnsi="黑体" w:eastAsia="黑体"/>
          <w:sz w:val="30"/>
          <w:szCs w:val="30"/>
        </w:rPr>
        <w:t xml:space="preserve">、投标文件</w:t>
      </w:r>
      <w:bookmarkEnd w:id="134"/>
      <w:r/>
      <w:bookmarkEnd w:id="135"/>
      <w:r/>
      <w:bookmarkEnd w:id="136"/>
      <w:r>
        <w:rPr>
          <w:rFonts w:hint="eastAsia" w:ascii="黑体" w:hAnsi="黑体" w:eastAsia="黑体"/>
          <w:sz w:val="30"/>
          <w:szCs w:val="30"/>
        </w:rPr>
        <w:t xml:space="preserve">的拒收</w:t>
      </w:r>
      <w:r/>
    </w:p>
    <w:p>
      <w:pPr>
        <w:ind w:firstLine="480"/>
        <w:spacing w:line="500" w:lineRule="exact"/>
        <w:rPr>
          <w:rFonts w:ascii="宋体" w:hAnsi="宋体"/>
          <w:bCs/>
          <w:sz w:val="24"/>
        </w:rPr>
      </w:pPr>
      <w:r>
        <w:rPr>
          <w:rFonts w:hint="eastAsia" w:ascii="宋体" w:hAnsi="宋体"/>
          <w:bCs/>
          <w:sz w:val="24"/>
        </w:rPr>
        <w:t xml:space="preserve">20.1 交易中心拒绝接收在其规定的投标截止时间后上传的任何投标文件。</w:t>
      </w:r>
      <w:r/>
    </w:p>
    <w:p>
      <w:pPr>
        <w:ind w:firstLine="600"/>
        <w:rPr>
          <w:rFonts w:ascii="黑体" w:hAnsi="黑体" w:eastAsia="黑体"/>
          <w:sz w:val="30"/>
          <w:szCs w:val="30"/>
        </w:rPr>
      </w:pPr>
      <w:r/>
      <w:bookmarkStart w:id="137" w:name="_Toc513029228"/>
      <w:r/>
      <w:bookmarkStart w:id="138" w:name="_Toc20823300"/>
      <w:r/>
      <w:bookmarkStart w:id="139" w:name="_Toc16938544"/>
      <w:r>
        <w:rPr>
          <w:rFonts w:ascii="黑体" w:hAnsi="黑体" w:eastAsia="黑体"/>
          <w:sz w:val="30"/>
          <w:szCs w:val="30"/>
        </w:rPr>
        <w:t xml:space="preserve">21</w:t>
      </w:r>
      <w:r>
        <w:rPr>
          <w:rFonts w:hint="eastAsia" w:ascii="黑体" w:hAnsi="黑体" w:eastAsia="黑体"/>
          <w:sz w:val="30"/>
          <w:szCs w:val="30"/>
        </w:rPr>
        <w:t xml:space="preserve">、投标文件的撤回和修改</w:t>
      </w:r>
      <w:bookmarkEnd w:id="137"/>
      <w:r/>
      <w:bookmarkEnd w:id="138"/>
      <w:r/>
      <w:bookmarkEnd w:id="139"/>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21.1.2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21.4</w:t>
      </w:r>
      <w:r>
        <w:rPr>
          <w:rFonts w:hint="eastAsia" w:ascii="宋体" w:hAnsi="宋体"/>
          <w:bCs/>
          <w:sz w:val="24"/>
        </w:rPr>
        <w:t xml:space="preserve"> 在投标截止时间至招标文件中规定的投标有效期满之间的这段时间内，投标人不得撤回其投标。</w:t>
      </w:r>
      <w:r/>
    </w:p>
    <w:p>
      <w:pPr>
        <w:ind w:firstLine="640"/>
        <w:rPr>
          <w:sz w:val="32"/>
          <w:szCs w:val="32"/>
        </w:rPr>
        <w:outlineLvl w:val="1"/>
      </w:pPr>
      <w:r/>
      <w:bookmarkStart w:id="140" w:name="_Toc120614218"/>
      <w:r/>
      <w:bookmarkStart w:id="141" w:name="_Toc16938545"/>
      <w:r/>
      <w:bookmarkStart w:id="142" w:name="_Toc20823301"/>
      <w:r/>
      <w:bookmarkStart w:id="143" w:name="_Toc513029229"/>
      <w:r>
        <w:rPr>
          <w:rFonts w:hint="eastAsia"/>
          <w:sz w:val="32"/>
          <w:szCs w:val="32"/>
        </w:rPr>
        <w:t xml:space="preserve">五、开标与评标</w:t>
      </w:r>
      <w:bookmarkEnd w:id="140"/>
      <w:r/>
      <w:bookmarkEnd w:id="141"/>
      <w:r/>
      <w:bookmarkEnd w:id="142"/>
      <w:r/>
      <w:bookmarkEnd w:id="143"/>
      <w:r/>
      <w:r/>
    </w:p>
    <w:p>
      <w:pPr>
        <w:ind w:firstLine="600"/>
        <w:rPr>
          <w:rFonts w:ascii="黑体" w:hAnsi="黑体" w:eastAsia="黑体"/>
          <w:sz w:val="30"/>
          <w:szCs w:val="30"/>
        </w:rPr>
      </w:pPr>
      <w:r/>
      <w:bookmarkStart w:id="144" w:name="_Toc16938546"/>
      <w:r/>
      <w:bookmarkStart w:id="145" w:name="_Toc513029230"/>
      <w:r/>
      <w:bookmarkStart w:id="146" w:name="_Toc20823302"/>
      <w:r>
        <w:rPr>
          <w:rFonts w:ascii="黑体" w:hAnsi="黑体" w:eastAsia="黑体"/>
          <w:sz w:val="30"/>
          <w:szCs w:val="30"/>
        </w:rPr>
        <w:t xml:space="preserve">22</w:t>
      </w:r>
      <w:r>
        <w:rPr>
          <w:rFonts w:hint="eastAsia" w:ascii="黑体" w:hAnsi="黑体" w:eastAsia="黑体"/>
          <w:sz w:val="30"/>
          <w:szCs w:val="30"/>
        </w:rPr>
        <w:t xml:space="preserve">、开标</w:t>
      </w:r>
      <w:bookmarkEnd w:id="144"/>
      <w:r/>
      <w:bookmarkEnd w:id="145"/>
      <w:r/>
      <w:bookmarkEnd w:id="146"/>
      <w:r/>
      <w:r/>
    </w:p>
    <w:p>
      <w:pPr>
        <w:ind w:firstLine="480"/>
        <w:spacing w:line="480" w:lineRule="exact"/>
        <w:rPr>
          <w:rFonts w:ascii="宋体" w:hAnsi="宋体"/>
          <w:sz w:val="24"/>
          <w:szCs w:val="24"/>
        </w:rPr>
      </w:pPr>
      <w:r>
        <w:rPr>
          <w:rFonts w:hint="eastAsia" w:ascii="宋体" w:hAnsi="宋体"/>
          <w:sz w:val="24"/>
          <w:szCs w:val="24"/>
        </w:rPr>
        <w:t xml:space="preserve">22.1 交易中心将在招标公告中规定的时间和地点组织公开开标。投标人应当按照《操作手册》规定，参加开标活动和在“苏采云”规定的时间内对投标文件进行解密。</w:t>
      </w:r>
      <w:r/>
    </w:p>
    <w:p>
      <w:pPr>
        <w:ind w:firstLine="480"/>
        <w:spacing w:line="480" w:lineRule="exact"/>
        <w:rPr>
          <w:rFonts w:ascii="宋体" w:hAnsi="宋体"/>
          <w:sz w:val="24"/>
          <w:szCs w:val="24"/>
        </w:rPr>
      </w:pPr>
      <w:r>
        <w:rPr>
          <w:rFonts w:hint="eastAsia" w:ascii="宋体" w:hAnsi="宋体"/>
          <w:sz w:val="24"/>
          <w:szCs w:val="24"/>
        </w:rPr>
        <w:t xml:space="preserve">22.2开标仪式由交易中心组织。“苏采云”将自动对项目进行开标，并宣读各投标人的《开标一览表》。</w:t>
      </w:r>
      <w:r/>
    </w:p>
    <w:p>
      <w:pPr>
        <w:ind w:firstLine="480"/>
        <w:spacing w:line="480" w:lineRule="exact"/>
        <w:rPr>
          <w:rFonts w:ascii="宋体" w:hAnsi="宋体"/>
          <w:sz w:val="24"/>
          <w:szCs w:val="24"/>
        </w:rPr>
      </w:pPr>
      <w:r>
        <w:rPr>
          <w:rFonts w:hint="eastAsia" w:ascii="宋体" w:hAnsi="宋体"/>
          <w:sz w:val="24"/>
          <w:szCs w:val="24"/>
        </w:rPr>
        <w:t xml:space="preserve">22.3投标人在开标过程中涉及到的</w:t>
      </w:r>
      <w:r>
        <w:rPr>
          <w:rFonts w:hint="eastAsia" w:ascii="宋体" w:hAnsi="宋体"/>
          <w:bCs/>
          <w:sz w:val="24"/>
        </w:rPr>
        <w:t xml:space="preserve">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w:t>
      </w:r>
      <w:r>
        <w:rPr>
          <w:rFonts w:hint="eastAsia" w:ascii="宋体" w:hAnsi="宋体" w:cs="楷体"/>
          <w:sz w:val="24"/>
        </w:rPr>
        <w:t xml:space="preserve">苏采云</w:t>
      </w:r>
      <w:r>
        <w:rPr>
          <w:rFonts w:hint="eastAsia" w:ascii="宋体" w:hAnsi="宋体"/>
          <w:sz w:val="24"/>
          <w:szCs w:val="24"/>
        </w:rPr>
        <w:t xml:space="preserve">”系统中《开标记录表》宣布后5分钟内未提出的，视同认可开标结果。</w:t>
      </w:r>
      <w:r/>
    </w:p>
    <w:p>
      <w:pPr>
        <w:ind w:firstLine="600"/>
        <w:rPr>
          <w:rFonts w:ascii="黑体" w:hAnsi="黑体" w:eastAsia="黑体"/>
          <w:sz w:val="30"/>
          <w:szCs w:val="30"/>
        </w:rPr>
      </w:pPr>
      <w:r/>
      <w:bookmarkStart w:id="147" w:name="_Toc513029231"/>
      <w:r/>
      <w:bookmarkStart w:id="148" w:name="_Toc16938547"/>
      <w:r/>
      <w:bookmarkStart w:id="149" w:name="_Toc20823303"/>
      <w:r>
        <w:rPr>
          <w:rFonts w:ascii="黑体" w:hAnsi="黑体" w:eastAsia="黑体"/>
          <w:sz w:val="30"/>
          <w:szCs w:val="30"/>
        </w:rPr>
        <w:t xml:space="preserve">23</w:t>
      </w:r>
      <w:r>
        <w:rPr>
          <w:rFonts w:hint="eastAsia" w:ascii="黑体" w:hAnsi="黑体" w:eastAsia="黑体"/>
          <w:sz w:val="30"/>
          <w:szCs w:val="3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23.3评委会独立工作，负责评审所有投标文件并确定中标侯选人。</w:t>
      </w:r>
      <w:r/>
    </w:p>
    <w:p>
      <w:pPr>
        <w:ind w:firstLine="600"/>
        <w:rPr>
          <w:rFonts w:ascii="黑体" w:hAnsi="黑体" w:eastAsia="黑体"/>
          <w:sz w:val="30"/>
          <w:szCs w:val="30"/>
        </w:rPr>
      </w:pPr>
      <w:r>
        <w:rPr>
          <w:rFonts w:hint="eastAsia" w:ascii="黑体" w:hAnsi="黑体" w:eastAsia="黑体"/>
          <w:sz w:val="30"/>
          <w:szCs w:val="30"/>
        </w:rPr>
        <w:t xml:space="preserve">24．评标过程的保密与公正</w:t>
      </w:r>
      <w:bookmarkEnd w:id="147"/>
      <w:r/>
      <w:bookmarkEnd w:id="148"/>
      <w:r/>
      <w:bookmarkEnd w:id="149"/>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rPr>
        <w:t xml:space="preserve">24.3</w:t>
      </w:r>
      <w:r>
        <w:rPr>
          <w:rFonts w:hint="eastAsia" w:ascii="宋体" w:hAnsi="宋体"/>
          <w:sz w:val="24"/>
          <w:szCs w:val="24"/>
        </w:rPr>
        <w:t xml:space="preserve">在评标期间，交易中心将设专门人员与投标人联系。</w:t>
      </w:r>
      <w:r/>
    </w:p>
    <w:p>
      <w:pPr>
        <w:ind w:firstLine="480"/>
        <w:spacing w:line="480" w:lineRule="exact"/>
        <w:rPr>
          <w:rFonts w:ascii="宋体" w:hAnsi="宋体"/>
          <w:sz w:val="24"/>
          <w:szCs w:val="24"/>
        </w:rPr>
      </w:pPr>
      <w:r>
        <w:rPr>
          <w:rFonts w:hint="eastAsia" w:ascii="宋体" w:hAnsi="宋体"/>
          <w:sz w:val="24"/>
          <w:szCs w:val="24"/>
        </w:rPr>
        <w:t xml:space="preserve">24.4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24.5 采用综合评分法的项目，未中标的投标人可于中标结果公告期限届满之日起通过“</w:t>
      </w:r>
      <w:r>
        <w:rPr>
          <w:rFonts w:hint="eastAsia" w:ascii="宋体" w:hAnsi="宋体" w:cs="楷体"/>
          <w:sz w:val="24"/>
        </w:rPr>
        <w:t xml:space="preserve">苏采云</w:t>
      </w:r>
      <w:r>
        <w:rPr>
          <w:rFonts w:hint="eastAsia" w:ascii="宋体" w:hAnsi="宋体"/>
          <w:sz w:val="24"/>
          <w:szCs w:val="24"/>
        </w:rPr>
        <w:t xml:space="preserve">”查看自己的评审得分及排序情况。</w:t>
      </w:r>
      <w:r/>
    </w:p>
    <w:p>
      <w:pPr>
        <w:ind w:firstLine="600"/>
        <w:rPr>
          <w:rFonts w:ascii="黑体" w:hAnsi="黑体" w:eastAsia="黑体"/>
          <w:sz w:val="30"/>
          <w:szCs w:val="30"/>
        </w:rPr>
      </w:pPr>
      <w:r/>
      <w:bookmarkStart w:id="150" w:name="_Toc513029232"/>
      <w:r/>
      <w:bookmarkStart w:id="151" w:name="_Toc16938548"/>
      <w:r/>
      <w:bookmarkStart w:id="152" w:name="_Toc20823304"/>
      <w:r>
        <w:rPr>
          <w:rFonts w:ascii="黑体" w:hAnsi="黑体" w:eastAsia="黑体"/>
          <w:sz w:val="30"/>
          <w:szCs w:val="30"/>
        </w:rPr>
        <w:t xml:space="preserve">25</w:t>
      </w:r>
      <w:r>
        <w:rPr>
          <w:rFonts w:hint="eastAsia" w:ascii="黑体" w:hAnsi="黑体" w:eastAsia="黑体"/>
          <w:sz w:val="30"/>
          <w:szCs w:val="30"/>
        </w:rPr>
        <w:t xml:space="preserve">．投标的澄清</w:t>
      </w:r>
      <w:bookmarkEnd w:id="150"/>
      <w:r/>
      <w:bookmarkEnd w:id="151"/>
      <w:r/>
      <w:bookmarkEnd w:id="152"/>
      <w:r/>
      <w:r/>
    </w:p>
    <w:p>
      <w:pPr>
        <w:ind w:firstLine="480"/>
        <w:spacing w:line="480" w:lineRule="exact"/>
        <w:rPr>
          <w:rFonts w:ascii="宋体" w:hAnsi="宋体"/>
          <w:sz w:val="24"/>
          <w:szCs w:val="24"/>
        </w:rPr>
      </w:pPr>
      <w:r>
        <w:rPr>
          <w:rFonts w:hint="eastAsia" w:ascii="宋体" w:hAnsi="宋体"/>
          <w:sz w:val="24"/>
          <w:szCs w:val="24"/>
        </w:rPr>
        <w:t xml:space="preserve">25.1评标期间，为有助于对投标文件的审查、评价和比较，评委会有权以电子函件形式要求投标人对其投标文件进行澄清，但并非对每个投标人都作澄清要求。</w:t>
      </w:r>
      <w:r/>
    </w:p>
    <w:p>
      <w:pPr>
        <w:spacing w:line="480" w:lineRule="exact"/>
        <w:rPr>
          <w:rFonts w:ascii="宋体" w:hAnsi="宋体"/>
          <w:sz w:val="24"/>
          <w:szCs w:val="24"/>
        </w:rPr>
      </w:pPr>
      <w:r>
        <w:rPr>
          <w:rFonts w:hint="eastAsia" w:ascii="宋体" w:hAnsi="宋体"/>
          <w:sz w:val="24"/>
          <w:szCs w:val="24"/>
        </w:rPr>
        <w:t xml:space="preserve">    25.2接到评委会澄清要求的投标人应派人按评委会规定的时间和格式在“</w:t>
      </w:r>
      <w:r>
        <w:rPr>
          <w:rFonts w:hint="eastAsia" w:ascii="宋体" w:hAnsi="宋体" w:cs="楷体"/>
          <w:sz w:val="24"/>
        </w:rPr>
        <w:t xml:space="preserve">苏采云</w:t>
      </w:r>
      <w:r>
        <w:rPr>
          <w:rFonts w:hint="eastAsia" w:ascii="宋体" w:hAnsi="宋体"/>
          <w:sz w:val="24"/>
          <w:szCs w:val="24"/>
        </w:rPr>
        <w:t xml:space="preserve">”中做出澄清，澄清的内容作为投标文件的补充部分，但投标的价格和实质性的内容不得做任何更改。具体操作方式见</w:t>
      </w:r>
      <w:r>
        <w:rPr>
          <w:rFonts w:hint="eastAsia" w:ascii="宋体" w:hAnsi="宋体"/>
          <w:bCs/>
          <w:sz w:val="24"/>
          <w:szCs w:val="24"/>
        </w:rPr>
        <w:t xml:space="preserve">《操作手册》</w:t>
      </w:r>
      <w:r>
        <w:rPr>
          <w:rFonts w:hint="eastAsia" w:ascii="宋体" w:hAnsi="宋体"/>
          <w:sz w:val="24"/>
          <w:szCs w:val="24"/>
        </w:rPr>
        <w:t xml:space="preserve">。</w:t>
      </w:r>
      <w:r/>
    </w:p>
    <w:p>
      <w:pPr>
        <w:spacing w:line="480" w:lineRule="exact"/>
        <w:rPr>
          <w:rFonts w:ascii="宋体" w:hAnsi="宋体"/>
          <w:sz w:val="24"/>
          <w:szCs w:val="24"/>
        </w:rPr>
      </w:pPr>
      <w:r>
        <w:rPr>
          <w:rFonts w:hint="eastAsia" w:ascii="宋体" w:hAnsi="宋体"/>
          <w:sz w:val="24"/>
          <w:szCs w:val="24"/>
        </w:rPr>
        <w:t xml:space="preserve">    25.3 接到评委会澄清要求的投标人如未按规定做出澄清，其风险由投标人自行承担。</w:t>
      </w:r>
      <w:r/>
    </w:p>
    <w:p>
      <w:pPr>
        <w:ind w:firstLine="600"/>
        <w:rPr>
          <w:rFonts w:ascii="黑体" w:hAnsi="黑体" w:eastAsia="黑体"/>
          <w:sz w:val="30"/>
          <w:szCs w:val="30"/>
        </w:rPr>
      </w:pPr>
      <w:r/>
      <w:bookmarkStart w:id="153" w:name="_Toc20823305"/>
      <w:r/>
      <w:bookmarkStart w:id="154" w:name="_Toc513029233"/>
      <w:r/>
      <w:bookmarkStart w:id="155" w:name="_Toc16938549"/>
      <w:r>
        <w:rPr>
          <w:rFonts w:ascii="黑体" w:hAnsi="黑体" w:eastAsia="黑体"/>
          <w:sz w:val="30"/>
          <w:szCs w:val="30"/>
        </w:rPr>
        <w:t xml:space="preserve">26</w:t>
      </w:r>
      <w:r>
        <w:rPr>
          <w:rFonts w:hint="eastAsia" w:ascii="黑体" w:hAnsi="黑体" w:eastAsia="黑体"/>
          <w:sz w:val="30"/>
          <w:szCs w:val="30"/>
        </w:rPr>
        <w:t xml:space="preserve">、对投标文件的初审</w:t>
      </w:r>
      <w:bookmarkEnd w:id="153"/>
      <w:r/>
      <w:bookmarkEnd w:id="154"/>
      <w:r/>
      <w:bookmarkEnd w:id="155"/>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采购人在进行资格性审查的同时，将在“信用中国”网站（www.creditchina.gov.cn）、“中国政府采购网”查询投标人的信用记录，以确定投标人是否具备投标资格。</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26.1.3 未通过资格审查或符合性审查的投标人，交易中心将在</w:t>
      </w:r>
      <w:r>
        <w:rPr>
          <w:rFonts w:hint="eastAsia" w:ascii="宋体" w:hAnsi="宋体"/>
          <w:sz w:val="24"/>
          <w:szCs w:val="24"/>
        </w:rPr>
        <w:t xml:space="preserve">“苏采云”</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80" w:lineRule="exact"/>
        <w:rPr>
          <w:rFonts w:ascii="宋体" w:hAnsi="宋体"/>
          <w:sz w:val="24"/>
          <w:szCs w:val="24"/>
        </w:rPr>
      </w:pPr>
      <w:r>
        <w:rPr>
          <w:rFonts w:hint="eastAsia" w:ascii="宋体" w:hAnsi="宋体"/>
          <w:sz w:val="24"/>
        </w:rPr>
        <w:t xml:space="preserve">26.2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p>
    <w:p>
      <w:pPr>
        <w:ind w:firstLine="480"/>
        <w:spacing w:line="460" w:lineRule="exact"/>
        <w:rPr>
          <w:rFonts w:ascii="宋体" w:hAnsi="宋体"/>
          <w:bCs/>
          <w:sz w:val="24"/>
        </w:rPr>
      </w:pPr>
      <w:r>
        <w:rPr>
          <w:rFonts w:hint="eastAsia" w:ascii="宋体" w:hAnsi="宋体"/>
          <w:sz w:val="24"/>
        </w:rPr>
        <w:t xml:space="preserve">26.3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26.5</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“苏采云”</w:t>
      </w:r>
      <w:r>
        <w:rPr>
          <w:rFonts w:hint="eastAsia" w:ascii="宋体" w:hAnsi="宋体"/>
          <w:bCs/>
          <w:sz w:val="24"/>
        </w:rPr>
        <w:t xml:space="preserve">告知投标人，调整后的价格应对投标人具有约束力。如果投标人不接受修正后的价格，则其投标将被拒绝。</w:t>
      </w:r>
      <w:r/>
    </w:p>
    <w:p>
      <w:pPr>
        <w:ind w:firstLine="480"/>
        <w:spacing w:line="460" w:lineRule="exact"/>
        <w:rPr>
          <w:rFonts w:ascii="宋体" w:hAnsi="宋体"/>
          <w:bCs/>
          <w:sz w:val="24"/>
        </w:rPr>
      </w:pPr>
      <w:r>
        <w:rPr>
          <w:rFonts w:hint="eastAsia" w:ascii="宋体" w:hAnsi="宋体"/>
          <w:sz w:val="24"/>
        </w:rPr>
        <w:t xml:space="preserve">26.6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sz w:val="24"/>
        </w:rPr>
      </w:pPr>
      <w:r/>
      <w:bookmarkStart w:id="156" w:name="_Toc16938550"/>
      <w:r/>
      <w:bookmarkStart w:id="157" w:name="_Toc513029234"/>
      <w:r/>
      <w:bookmarkStart w:id="158" w:name="_Toc20823306"/>
      <w:r>
        <w:rPr>
          <w:rFonts w:hint="eastAsia" w:ascii="宋体" w:hAnsi="宋体"/>
          <w:sz w:val="24"/>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ascii="宋体" w:hAnsi="宋体"/>
          <w:sz w:val="24"/>
        </w:rPr>
      </w:pPr>
      <w:r>
        <w:rPr>
          <w:rFonts w:hint="eastAsia" w:ascii="宋体" w:hAnsi="宋体"/>
          <w:sz w:val="24"/>
        </w:rPr>
        <w:t xml:space="preserve">非单一产品采购项目，招标文件中将载明其中的核心产品。多家投标人提供的核心产品品牌相同的，按前两款规定处理。</w:t>
      </w:r>
      <w:r/>
    </w:p>
    <w:p>
      <w:pPr>
        <w:ind w:firstLine="420"/>
        <w:spacing w:line="460" w:lineRule="exact"/>
        <w:rPr>
          <w:rFonts w:ascii="宋体" w:hAnsi="宋体"/>
          <w:sz w:val="24"/>
        </w:rPr>
      </w:pPr>
      <w:r>
        <w:rPr>
          <w:rFonts w:hint="eastAsia" w:ascii="宋体" w:hAnsi="宋体"/>
          <w:sz w:val="24"/>
        </w:rPr>
        <w:t xml:space="preserve">26.8 投标人在开、评标全过程中应保持通讯畅通，并安排专人与交易中心及评标委员会联系。</w:t>
      </w:r>
      <w:r/>
    </w:p>
    <w:p>
      <w:pPr>
        <w:ind w:firstLine="600"/>
        <w:rPr>
          <w:rFonts w:ascii="黑体" w:hAnsi="黑体" w:eastAsia="黑体"/>
          <w:sz w:val="30"/>
          <w:szCs w:val="30"/>
        </w:rPr>
      </w:pPr>
      <w:r>
        <w:rPr>
          <w:rFonts w:ascii="黑体" w:hAnsi="黑体" w:eastAsia="黑体"/>
          <w:sz w:val="30"/>
          <w:szCs w:val="30"/>
        </w:rPr>
        <w:t xml:space="preserve">27</w:t>
      </w:r>
      <w:r>
        <w:rPr>
          <w:rFonts w:hint="eastAsia" w:ascii="黑体" w:hAnsi="黑体" w:eastAsia="黑体"/>
          <w:sz w:val="30"/>
          <w:szCs w:val="30"/>
        </w:rPr>
        <w:t xml:space="preserve">、</w:t>
      </w:r>
      <w:bookmarkEnd w:id="156"/>
      <w:r/>
      <w:bookmarkEnd w:id="157"/>
      <w:r/>
      <w:bookmarkEnd w:id="158"/>
      <w:r>
        <w:rPr>
          <w:rFonts w:hint="eastAsia" w:ascii="黑体" w:hAnsi="黑体" w:eastAsia="黑体"/>
          <w:sz w:val="30"/>
          <w:szCs w:val="30"/>
        </w:rPr>
        <w:t xml:space="preserve">无效投标条款和废标条款</w:t>
      </w:r>
      <w:r/>
    </w:p>
    <w:p>
      <w:pPr>
        <w:ind w:left="479"/>
        <w:spacing w:line="440" w:lineRule="exact"/>
        <w:rPr>
          <w:rFonts w:ascii="宋体" w:hAnsi="宋体"/>
          <w:b/>
          <w:bCs/>
          <w:sz w:val="24"/>
        </w:rPr>
        <w:outlineLvl w:val="2"/>
      </w:pPr>
      <w:r/>
      <w:bookmarkStart w:id="159" w:name="_Toc16938551"/>
      <w:r/>
      <w:bookmarkStart w:id="160" w:name="_Toc513029235"/>
      <w:r/>
      <w:bookmarkStart w:id="161" w:name="_Toc20823307"/>
      <w:r>
        <w:rPr>
          <w:rFonts w:hint="eastAsia" w:ascii="宋体" w:hAnsi="宋体"/>
          <w:b/>
          <w:bCs/>
          <w:sz w:val="24"/>
        </w:rPr>
        <w:t xml:space="preserve">27.1无效投标条款</w:t>
      </w:r>
      <w:r/>
    </w:p>
    <w:p>
      <w:pPr>
        <w:ind w:firstLine="480"/>
        <w:spacing w:line="440" w:lineRule="exact"/>
        <w:rPr>
          <w:rFonts w:ascii="宋体" w:hAnsi="宋体"/>
          <w:bCs/>
          <w:sz w:val="24"/>
        </w:rPr>
      </w:pPr>
      <w:r>
        <w:rPr>
          <w:rFonts w:hint="eastAsia" w:ascii="宋体" w:hAnsi="宋体"/>
          <w:bCs/>
          <w:sz w:val="24"/>
        </w:rPr>
        <w:t xml:space="preserve">27.1.1 投标人在“苏采云”规定的时间内未成功解密电子投标文件的。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27.1.6未通过符合性检查的。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27.1.7不符合招标文件中规定的其他实质性要求和条件的</w:t>
      </w:r>
      <w:r>
        <w:rPr>
          <w:rFonts w:hint="eastAsia" w:ascii="宋体" w:hAnsi="宋体"/>
          <w:b/>
          <w:bCs/>
          <w:sz w:val="24"/>
          <w:szCs w:val="21"/>
        </w:rPr>
        <w:t xml:space="preserve">（本招标文件中斜体条款为实质性要求）</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苏采云”要求其在合理的时间内提供说明，必要时提交相关证明材料；投标人不能证明其报价合理性的，评标委员会应当将其作为无效投标处理。</w:t>
      </w:r>
      <w:r/>
    </w:p>
    <w:p>
      <w:pPr>
        <w:pStyle w:val="775"/>
        <w:spacing w:line="440" w:lineRule="exact"/>
        <w:rPr>
          <w:bCs/>
          <w:sz w:val="24"/>
          <w:szCs w:val="22"/>
        </w:rPr>
      </w:pPr>
      <w:r>
        <w:rPr>
          <w:rFonts w:hint="eastAsia"/>
          <w:bCs/>
          <w:sz w:val="24"/>
          <w:szCs w:val="22"/>
        </w:rPr>
        <w:t xml:space="preserve">政府采购评审中出现下列情形之一的，评审委员会应当启动异常低价投标（响应）审查程序：（一）投标（响应）报价低于采购项目预算 50% 的，即投标（响应）报价&lt;采购项目预算×50% ；（二）投标（响应）报价低于采购项目最高限价 45% 的，即投标（响应）报价&lt;采购项目最高限价×45%；（三）评审委员会认为供应商报价过低，有可能影响产品质量或者不能诚信履约的情形。</w:t>
      </w:r>
      <w:r/>
    </w:p>
    <w:p>
      <w:pPr>
        <w:pStyle w:val="775"/>
        <w:spacing w:line="440" w:lineRule="exact"/>
        <w:rPr>
          <w:bCs/>
          <w:sz w:val="24"/>
          <w:szCs w:val="22"/>
        </w:rPr>
      </w:pPr>
      <w:r>
        <w:rPr>
          <w:rFonts w:hint="eastAsia"/>
          <w:bCs/>
          <w:sz w:val="24"/>
          <w:szCs w:val="22"/>
        </w:rPr>
        <w:t xml:space="preserve">评审小组启动异常低价响应审查后，应当要求相关供应商在评审现场合理的时间内提供书面说明及必要的证明材料，对响应价格作出解释。书面说明、证明材料主要是项目具体成本测算等与报价合理性相关的说明、材料。</w:t>
      </w:r>
      <w:r/>
    </w:p>
    <w:p>
      <w:pPr>
        <w:pStyle w:val="775"/>
        <w:spacing w:line="440" w:lineRule="exact"/>
        <w:rPr>
          <w:bCs/>
          <w:sz w:val="24"/>
          <w:szCs w:val="22"/>
        </w:rPr>
      </w:pPr>
      <w:r>
        <w:rPr>
          <w:rFonts w:hint="eastAsia"/>
          <w:bCs/>
          <w:sz w:val="24"/>
          <w:szCs w:val="22"/>
        </w:rPr>
        <w:t xml:space="preserve">如果供应商不提供书面说明、证明材料，或者提供的书面说明、证明材料不能证明其报价合理性的，评审小组应当将其作为无效响应处理。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27.1.12 投标文件未按照招标文件要求加盖电子签章。</w:t>
      </w:r>
      <w:r/>
    </w:p>
    <w:p>
      <w:pPr>
        <w:ind w:firstLine="480"/>
        <w:spacing w:line="440" w:lineRule="exact"/>
        <w:rPr>
          <w:rFonts w:ascii="宋体" w:hAnsi="宋体"/>
          <w:bCs/>
          <w:sz w:val="24"/>
        </w:rPr>
      </w:pPr>
      <w:r>
        <w:rPr>
          <w:rFonts w:hint="eastAsia" w:ascii="宋体" w:hAnsi="宋体"/>
          <w:bCs/>
          <w:sz w:val="24"/>
        </w:rPr>
        <w:t xml:space="preserve">27.1.13其他法律、法规及本招标文件规定的属无效投标的情形。</w:t>
      </w:r>
      <w:r/>
    </w:p>
    <w:p>
      <w:pPr>
        <w:ind w:left="479"/>
        <w:spacing w:line="440" w:lineRule="exact"/>
        <w:rPr>
          <w:rFonts w:ascii="宋体" w:hAnsi="宋体"/>
          <w:b/>
          <w:bCs/>
          <w:sz w:val="24"/>
        </w:rPr>
        <w:outlineLvl w:val="2"/>
      </w:pPr>
      <w:r>
        <w:rPr>
          <w:rFonts w:hint="eastAsia" w:ascii="宋体" w:hAnsi="宋体"/>
          <w:b/>
          <w:bCs/>
          <w:sz w:val="24"/>
        </w:rPr>
        <w:t xml:space="preserve">27.2废标条款：</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“苏采云”</w:t>
      </w:r>
      <w:r>
        <w:rPr>
          <w:rFonts w:hint="eastAsia" w:ascii="宋体" w:hAnsi="宋体"/>
          <w:bCs/>
          <w:sz w:val="24"/>
        </w:rPr>
        <w:t xml:space="preserve">系统故障原因造成开标不成功的。</w:t>
      </w:r>
      <w:r/>
    </w:p>
    <w:p>
      <w:pPr>
        <w:ind w:left="479"/>
        <w:spacing w:line="440" w:lineRule="exact"/>
        <w:rPr>
          <w:rFonts w:ascii="宋体" w:hAnsi="宋体"/>
          <w:bCs/>
          <w:sz w:val="24"/>
        </w:rPr>
        <w:outlineLvl w:val="2"/>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ind w:firstLine="640"/>
        <w:rPr>
          <w:sz w:val="32"/>
          <w:szCs w:val="32"/>
        </w:rPr>
        <w:outlineLvl w:val="1"/>
      </w:pPr>
      <w:r/>
      <w:bookmarkStart w:id="162" w:name="_Toc120614219"/>
      <w:r>
        <w:rPr>
          <w:rFonts w:hint="eastAsia"/>
          <w:sz w:val="32"/>
          <w:szCs w:val="32"/>
        </w:rPr>
        <w:t xml:space="preserve">六、</w:t>
      </w:r>
      <w:bookmarkEnd w:id="159"/>
      <w:r/>
      <w:bookmarkEnd w:id="160"/>
      <w:r/>
      <w:bookmarkEnd w:id="161"/>
      <w:r>
        <w:rPr>
          <w:rFonts w:hint="eastAsia"/>
          <w:sz w:val="32"/>
          <w:szCs w:val="32"/>
        </w:rPr>
        <w:t xml:space="preserve">定标</w:t>
      </w:r>
      <w:bookmarkEnd w:id="162"/>
      <w:r/>
      <w:r/>
    </w:p>
    <w:p>
      <w:pPr>
        <w:ind w:firstLine="600"/>
        <w:rPr>
          <w:rFonts w:ascii="黑体" w:hAnsi="黑体" w:eastAsia="黑体"/>
          <w:sz w:val="30"/>
          <w:szCs w:val="30"/>
        </w:rPr>
      </w:pPr>
      <w:r/>
      <w:bookmarkStart w:id="163" w:name="_Toc513029238"/>
      <w:r/>
      <w:bookmarkStart w:id="164" w:name="_Toc16938554"/>
      <w:r/>
      <w:bookmarkStart w:id="165" w:name="_Toc20823310"/>
      <w:r>
        <w:rPr>
          <w:rFonts w:hint="eastAsia" w:ascii="黑体" w:hAnsi="黑体" w:eastAsia="黑体"/>
          <w:sz w:val="30"/>
          <w:szCs w:val="30"/>
        </w:rPr>
        <w:t xml:space="preserve">28、</w:t>
      </w:r>
      <w:bookmarkEnd w:id="163"/>
      <w:r>
        <w:rPr>
          <w:rFonts w:hint="eastAsia" w:ascii="黑体" w:hAnsi="黑体" w:eastAsia="黑体"/>
          <w:sz w:val="30"/>
          <w:szCs w:val="30"/>
        </w:rPr>
        <w:t xml:space="preserve">确定</w:t>
      </w:r>
      <w:bookmarkEnd w:id="164"/>
      <w:r/>
      <w:bookmarkEnd w:id="165"/>
      <w:r>
        <w:rPr>
          <w:rFonts w:hint="eastAsia" w:ascii="黑体" w:hAnsi="黑体" w:eastAsia="黑体"/>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28.4.3恶意竞争，投标总报价明显低于其自身合理成本且又无法提供证明的。</w:t>
      </w:r>
      <w:r/>
    </w:p>
    <w:p>
      <w:pPr>
        <w:ind w:firstLine="480"/>
        <w:spacing w:line="480" w:lineRule="exact"/>
        <w:rPr>
          <w:rFonts w:ascii="宋体" w:hAnsi="宋体"/>
          <w:sz w:val="24"/>
          <w:szCs w:val="24"/>
        </w:rPr>
      </w:pPr>
      <w:r>
        <w:rPr>
          <w:rFonts w:hint="eastAsia" w:ascii="宋体" w:hAnsi="宋体"/>
          <w:sz w:val="24"/>
          <w:szCs w:val="24"/>
        </w:rPr>
        <w:t xml:space="preserve">28.4.4属于本文件规定的无效条件，但在评标过程中又未被评委会发现的。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28.4.5与采购人或者其他供应商恶意串通的。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28.4.6采取不正当手段诋毁、排挤其他供应商的。</w:t>
      </w:r>
      <w:r/>
    </w:p>
    <w:p>
      <w:pPr>
        <w:ind w:firstLine="480"/>
        <w:spacing w:line="480" w:lineRule="exact"/>
        <w:rPr>
          <w:rFonts w:ascii="宋体" w:hAnsi="宋体"/>
          <w:sz w:val="24"/>
          <w:szCs w:val="24"/>
        </w:rPr>
      </w:pPr>
      <w:r/>
      <w:bookmarkStart w:id="166" w:name="_Toc200451960"/>
      <w:r>
        <w:rPr>
          <w:rFonts w:hint="eastAsia" w:ascii="宋体" w:hAnsi="宋体"/>
          <w:sz w:val="24"/>
          <w:szCs w:val="24"/>
        </w:rPr>
        <w:t xml:space="preserve">28.5.</w:t>
      </w:r>
      <w:r>
        <w:t xml:space="preserve"> </w:t>
      </w:r>
      <w:r>
        <w:rPr>
          <w:rFonts w:hint="eastAsia" w:hAnsi="宋体" w:cs="宋体"/>
          <w:sz w:val="24"/>
          <w:szCs w:val="24"/>
        </w:rPr>
        <w:t xml:space="preserve">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ind w:firstLine="600"/>
        <w:rPr>
          <w:rFonts w:ascii="黑体" w:hAnsi="黑体" w:eastAsia="黑体"/>
          <w:sz w:val="30"/>
          <w:szCs w:val="30"/>
        </w:rPr>
      </w:pPr>
      <w:r>
        <w:rPr>
          <w:rFonts w:hint="eastAsia" w:ascii="黑体" w:hAnsi="黑体" w:eastAsia="黑体"/>
          <w:sz w:val="30"/>
          <w:szCs w:val="30"/>
        </w:rPr>
        <w:t xml:space="preserve">29、质疑处理</w:t>
      </w:r>
      <w:bookmarkEnd w:id="166"/>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29.4 </w:t>
      </w:r>
      <w:r>
        <w:rPr>
          <w:rFonts w:hint="eastAsia" w:ascii="宋体" w:hAnsi="宋体"/>
          <w:b/>
          <w:sz w:val="24"/>
          <w:szCs w:val="24"/>
        </w:rPr>
        <w:t xml:space="preserve">供应商对采购方式、招标文件中项目需求、供应商资格条件、评标方法和评标标准、合同文本及资格审查结果的询问、质疑请向采购人提出，由采购人负责答复。供应商对其他事项的询问、质疑请向交易中心提出，由交易中心负责答复。</w:t>
      </w:r>
      <w:r/>
    </w:p>
    <w:p>
      <w:pPr>
        <w:ind w:firstLine="482"/>
        <w:spacing w:line="480" w:lineRule="exact"/>
        <w:rPr>
          <w:rFonts w:ascii="宋体" w:hAnsi="宋体"/>
          <w:b/>
          <w:sz w:val="24"/>
          <w:szCs w:val="24"/>
        </w:rPr>
      </w:pPr>
      <w:r>
        <w:rPr>
          <w:rFonts w:hint="eastAsia" w:ascii="宋体" w:hAnsi="宋体"/>
          <w:b/>
          <w:sz w:val="24"/>
          <w:szCs w:val="24"/>
        </w:rPr>
        <w:t xml:space="preserve">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w:t>
      </w:r>
      <w:r/>
    </w:p>
    <w:p>
      <w:pPr>
        <w:ind w:firstLine="480"/>
        <w:spacing w:line="480" w:lineRule="exact"/>
        <w:rPr>
          <w:rFonts w:ascii="宋体" w:hAnsi="宋体"/>
          <w:sz w:val="24"/>
          <w:szCs w:val="24"/>
        </w:rPr>
      </w:pPr>
      <w:r>
        <w:rPr>
          <w:rFonts w:hint="eastAsia" w:ascii="宋体" w:hAnsi="宋体"/>
          <w:sz w:val="24"/>
          <w:szCs w:val="24"/>
        </w:rPr>
        <w:t xml:space="preserve">交易中心联系人、采购人联系人分别为交易中心和采购人质疑接收人，联系方式见招标文件第一章。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rPr>
          <w:rFonts w:ascii="黑体" w:hAnsi="黑体" w:eastAsia="黑体"/>
          <w:sz w:val="30"/>
          <w:szCs w:val="30"/>
        </w:rPr>
      </w:pPr>
      <w:r>
        <w:rPr>
          <w:rFonts w:hint="eastAsia" w:ascii="黑体" w:hAnsi="黑体" w:eastAsia="黑体"/>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中标结果确定后，交易中心发出中标公告的同时将通过“苏采云”系统向中标供应商发出中标通知书。</w:t>
      </w:r>
      <w:r/>
    </w:p>
    <w:p>
      <w:pPr>
        <w:ind w:firstLine="600"/>
        <w:spacing w:line="480" w:lineRule="exact"/>
        <w:rPr>
          <w:rFonts w:ascii="宋体" w:hAnsi="宋体"/>
          <w:sz w:val="24"/>
          <w:szCs w:val="24"/>
        </w:rPr>
      </w:pPr>
      <w:r>
        <w:rPr>
          <w:rFonts w:hint="eastAsia" w:ascii="宋体" w:hAnsi="宋体"/>
          <w:sz w:val="24"/>
          <w:szCs w:val="24"/>
        </w:rPr>
        <w:t xml:space="preserve">30.2请供应商自行登陆“苏采云“系统领取中标通知书，如因供应商失误造成的不利后果由供应商自行承担。</w:t>
      </w:r>
      <w:r/>
    </w:p>
    <w:p>
      <w:pPr>
        <w:ind w:firstLine="600"/>
        <w:spacing w:line="480" w:lineRule="exact"/>
        <w:rPr>
          <w:rFonts w:ascii="宋体" w:hAnsi="宋体"/>
          <w:sz w:val="24"/>
          <w:szCs w:val="24"/>
        </w:rPr>
      </w:pPr>
      <w:r>
        <w:rPr>
          <w:rFonts w:hint="eastAsia" w:ascii="宋体" w:hAnsi="宋体"/>
          <w:sz w:val="24"/>
          <w:szCs w:val="24"/>
        </w:rPr>
        <w:t xml:space="preserve">30.3中标通知书将是合同的一个组成部分。对采购人和中标供应商均具有法律效力。中标通知书发出后，采购人改变中标结果的，或者中标供应商放弃中标项目的，应当依法承担法律责任。</w:t>
      </w:r>
      <w:r/>
    </w:p>
    <w:p>
      <w:pPr>
        <w:ind w:firstLine="640"/>
        <w:rPr>
          <w:sz w:val="32"/>
          <w:szCs w:val="32"/>
        </w:rPr>
        <w:outlineLvl w:val="1"/>
      </w:pPr>
      <w:r/>
      <w:bookmarkStart w:id="167" w:name="_Toc120614220"/>
      <w:r/>
      <w:bookmarkStart w:id="168" w:name="_Toc20823308"/>
      <w:r/>
      <w:bookmarkStart w:id="169" w:name="_Toc513029236"/>
      <w:r/>
      <w:bookmarkStart w:id="170" w:name="_Toc16938552"/>
      <w:r>
        <w:rPr>
          <w:rFonts w:hint="eastAsia"/>
          <w:sz w:val="32"/>
          <w:szCs w:val="32"/>
        </w:rPr>
        <w:t xml:space="preserve">七、授予合同</w:t>
      </w:r>
      <w:bookmarkEnd w:id="167"/>
      <w:r/>
      <w:bookmarkEnd w:id="168"/>
      <w:r/>
      <w:bookmarkEnd w:id="169"/>
      <w:r/>
      <w:bookmarkEnd w:id="170"/>
      <w:r/>
      <w:r/>
    </w:p>
    <w:p>
      <w:pPr>
        <w:ind w:firstLine="600"/>
        <w:rPr>
          <w:rFonts w:ascii="黑体" w:hAnsi="黑体" w:eastAsia="黑体"/>
          <w:sz w:val="30"/>
          <w:szCs w:val="30"/>
        </w:rPr>
      </w:pPr>
      <w:r/>
      <w:bookmarkStart w:id="171" w:name="_Toc513029237"/>
      <w:r/>
      <w:bookmarkStart w:id="172" w:name="_Toc20823309"/>
      <w:r/>
      <w:bookmarkStart w:id="173" w:name="_Toc16938553"/>
      <w:r>
        <w:rPr>
          <w:rFonts w:hint="eastAsia" w:ascii="黑体" w:hAnsi="黑体" w:eastAsia="黑体"/>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w:t>
      </w:r>
      <w:r>
        <w:rPr>
          <w:rFonts w:hint="eastAsia" w:ascii="宋体" w:hAnsi="宋体"/>
          <w:b/>
          <w:sz w:val="24"/>
          <w:szCs w:val="24"/>
        </w:rPr>
        <w:t xml:space="preserve">三十日</w:t>
      </w:r>
      <w:r>
        <w:rPr>
          <w:rFonts w:hint="eastAsia" w:ascii="宋体" w:hAnsi="宋体"/>
          <w:sz w:val="24"/>
          <w:szCs w:val="24"/>
        </w:rPr>
        <w:t xml:space="preserve">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中标人不得将货物及其他相关服务进行转包</w:t>
      </w:r>
      <w:r>
        <w:rPr>
          <w:rFonts w:hint="eastAsia" w:ascii="宋体" w:hAnsi="宋体"/>
          <w:sz w:val="24"/>
          <w:szCs w:val="24"/>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600"/>
        <w:rPr>
          <w:rFonts w:ascii="黑体" w:hAnsi="黑体" w:eastAsia="黑体"/>
          <w:sz w:val="30"/>
          <w:szCs w:val="30"/>
        </w:rPr>
      </w:pPr>
      <w:r>
        <w:rPr>
          <w:rFonts w:hint="eastAsia" w:ascii="黑体" w:hAnsi="黑体" w:eastAsia="黑体"/>
          <w:sz w:val="30"/>
          <w:szCs w:val="30"/>
        </w:rPr>
        <w:t xml:space="preserve">32、货物和服务的追加、减少和添购。</w:t>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600"/>
        <w:spacing w:line="480" w:lineRule="exact"/>
        <w:rPr>
          <w:rFonts w:ascii="宋体" w:hAnsi="宋体"/>
          <w:b/>
          <w:sz w:val="24"/>
          <w:szCs w:val="24"/>
        </w:rPr>
      </w:pPr>
      <w:r>
        <w:rPr>
          <w:rFonts w:hint="eastAsia" w:ascii="宋体" w:hAnsi="宋体"/>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71"/>
      <w:r/>
      <w:bookmarkEnd w:id="172"/>
      <w:r/>
      <w:bookmarkEnd w:id="173"/>
      <w:r/>
      <w:r/>
    </w:p>
    <w:p>
      <w:r/>
      <w:r/>
    </w:p>
    <w:p>
      <w:pPr>
        <w:ind w:firstLine="640"/>
        <w:rPr>
          <w:sz w:val="32"/>
          <w:szCs w:val="32"/>
        </w:rPr>
        <w:outlineLvl w:val="1"/>
      </w:pPr>
      <w:r>
        <w:rPr>
          <w:sz w:val="32"/>
          <w:szCs w:val="32"/>
        </w:rPr>
        <w:t xml:space="preserve">八、政府采购政策功能落实</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w:t>
      </w:r>
      <w:r>
        <w:rPr>
          <w:rFonts w:ascii="黑体" w:hAnsi="黑体" w:eastAsia="黑体"/>
          <w:sz w:val="30"/>
          <w:szCs w:val="30"/>
        </w:rPr>
        <w:t xml:space="preserve">3</w:t>
      </w:r>
      <w:r>
        <w:rPr>
          <w:rFonts w:hint="eastAsia" w:ascii="黑体" w:hAnsi="黑体" w:eastAsia="黑体"/>
          <w:sz w:val="30"/>
          <w:szCs w:val="30"/>
        </w:rPr>
        <w:t xml:space="preserve">、政府采购履约资金扶持政策</w:t>
      </w:r>
      <w:r/>
    </w:p>
    <w:p>
      <w:pPr>
        <w:pStyle w:val="967"/>
        <w:ind w:firstLine="480"/>
        <w:spacing w:line="480" w:lineRule="exact"/>
        <w:rPr>
          <w:rFonts w:ascii="宋体" w:hAnsi="宋体"/>
          <w:sz w:val="24"/>
          <w:szCs w:val="24"/>
        </w:rPr>
      </w:pPr>
      <w:r>
        <w:rPr>
          <w:rFonts w:hint="eastAsia" w:ascii="宋体" w:hAnsi="宋体"/>
          <w:bCs/>
          <w:sz w:val="24"/>
        </w:rPr>
        <w:t xml:space="preserve">33.1根据国家扶持中小企业的有关政策，</w:t>
      </w:r>
      <w:r>
        <w:rPr>
          <w:rFonts w:hint="eastAsia" w:ascii="宋体" w:hAnsi="宋体"/>
          <w:sz w:val="24"/>
          <w:szCs w:val="24"/>
        </w:rPr>
        <w:t xml:space="preserve">成交供应商可凭政府采购合同办理融资贷款，详情请见江苏政府采购网“政采贷”专栏。</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34、政府采购政策功能落实</w:t>
      </w:r>
      <w:r/>
    </w:p>
    <w:p>
      <w:pPr>
        <w:pStyle w:val="967"/>
        <w:ind w:firstLine="482"/>
        <w:spacing w:line="480" w:lineRule="exact"/>
        <w:rPr>
          <w:rFonts w:ascii="宋体" w:hAnsi="宋体"/>
          <w:bCs/>
          <w:sz w:val="24"/>
        </w:rPr>
      </w:pPr>
      <w:r>
        <w:rPr>
          <w:rFonts w:hint="eastAsia" w:ascii="宋体" w:hAnsi="宋体"/>
          <w:bCs/>
          <w:sz w:val="24"/>
        </w:rPr>
        <w:t xml:space="preserve">34.1落实财政部、工业和信息化部《政府采购促进中小企业发展管理办法》的通知（财库〔2020〕46号）、苏财购〔2021〕34号和《关于进一步加大政府采购支持中小企业力度的通知》（财库〔2022〕19号）；</w:t>
      </w:r>
      <w:r/>
    </w:p>
    <w:p>
      <w:pPr>
        <w:ind w:firstLine="482"/>
        <w:spacing w:line="480" w:lineRule="exact"/>
        <w:rPr>
          <w:rFonts w:ascii="宋体" w:hAnsi="宋体"/>
          <w:bCs/>
          <w:sz w:val="24"/>
        </w:rPr>
      </w:pPr>
      <w:r>
        <w:rPr>
          <w:rFonts w:hint="eastAsia" w:ascii="宋体" w:hAnsi="宋体"/>
          <w:bCs/>
          <w:sz w:val="24"/>
        </w:rPr>
        <w:t xml:space="preserve">34.2落实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p>
    <w:p>
      <w:pPr>
        <w:ind w:firstLine="482"/>
        <w:spacing w:line="480" w:lineRule="exact"/>
        <w:rPr>
          <w:rFonts w:ascii="宋体" w:hAnsi="宋体"/>
          <w:bCs/>
          <w:sz w:val="24"/>
        </w:rPr>
      </w:pPr>
      <w:r>
        <w:rPr>
          <w:rFonts w:ascii="宋体" w:hAnsi="宋体"/>
          <w:bCs/>
          <w:sz w:val="24"/>
        </w:rPr>
        <w:t xml:space="preserve">34.3</w:t>
      </w:r>
      <w:r>
        <w:rPr>
          <w:rFonts w:hint="eastAsia" w:ascii="宋体" w:hAnsi="宋体"/>
          <w:bCs/>
          <w:sz w:val="24"/>
        </w:rPr>
        <w:t xml:space="preserve">落实财政部、国家发改委、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82"/>
        <w:spacing w:line="480" w:lineRule="exact"/>
        <w:rPr>
          <w:rFonts w:ascii="宋体" w:hAnsi="宋体"/>
          <w:bCs/>
          <w:sz w:val="24"/>
        </w:rPr>
      </w:pPr>
      <w:r>
        <w:rPr>
          <w:rFonts w:hint="eastAsia" w:ascii="宋体" w:hAnsi="宋体"/>
          <w:bCs/>
          <w:sz w:val="24"/>
        </w:rPr>
        <w:t xml:space="preserve">对照财库〔2019〕9 号、财库〔2019〕19 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82"/>
        <w:spacing w:line="480" w:lineRule="exact"/>
        <w:rPr>
          <w:rFonts w:ascii="Times New Roman" w:hAnsi="Times New Roman"/>
          <w:sz w:val="24"/>
          <w:szCs w:val="24"/>
        </w:rPr>
      </w:pPr>
      <w:r>
        <w:rPr>
          <w:rFonts w:ascii="宋体" w:hAnsi="宋体"/>
          <w:bCs/>
          <w:sz w:val="24"/>
        </w:rPr>
        <w:t xml:space="preserve">34.4</w:t>
      </w:r>
      <w:r>
        <w:rPr>
          <w:rFonts w:hint="eastAsia" w:ascii="Times New Roman" w:hAnsi="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2"/>
        <w:spacing w:line="480" w:lineRule="exact"/>
        <w:rPr>
          <w:rFonts w:ascii="宋体" w:hAnsi="宋体"/>
          <w:bCs/>
          <w:sz w:val="24"/>
        </w:rPr>
      </w:pPr>
      <w:r>
        <w:rPr>
          <w:rFonts w:hint="eastAsia" w:ascii="宋体" w:hAnsi="宋体"/>
          <w:bCs/>
          <w:sz w:val="24"/>
        </w:rPr>
        <w:t xml:space="preserve">34.5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spacing w:line="480" w:lineRule="exact"/>
        <w:rPr>
          <w:rFonts w:ascii="宋体" w:hAnsi="宋体"/>
          <w:bCs/>
          <w:sz w:val="24"/>
        </w:rPr>
      </w:pPr>
      <w:r>
        <w:rPr>
          <w:rFonts w:hint="eastAsia" w:ascii="宋体" w:hAnsi="宋体"/>
          <w:bCs/>
          <w:sz w:val="24"/>
        </w:rPr>
        <w:t xml:space="preserve">34.6本项目中如有涉及数据库、操作系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775"/>
      </w:pPr>
      <w:r/>
      <w:r/>
    </w:p>
    <w:p>
      <w:pPr>
        <w:jc w:val="center"/>
        <w:rPr>
          <w:rFonts w:ascii="黑体" w:eastAsia="黑体"/>
          <w:bCs/>
          <w:sz w:val="44"/>
        </w:rPr>
        <w:outlineLvl w:val="0"/>
      </w:pPr>
      <w:r>
        <w:rPr>
          <w:rFonts w:hint="eastAsia"/>
        </w:rPr>
        <w:br w:type="page" w:clear="all"/>
      </w:r>
      <w:r>
        <w:rPr>
          <w:rFonts w:hint="eastAsia" w:ascii="黑体" w:eastAsia="黑体"/>
          <w:bCs/>
          <w:sz w:val="44"/>
        </w:rPr>
        <w:t xml:space="preserve">第三章  合同文本</w:t>
      </w:r>
      <w:r/>
    </w:p>
    <w:p>
      <w:pPr>
        <w:ind w:firstLine="480"/>
        <w:spacing w:line="500" w:lineRule="exact"/>
        <w:rPr>
          <w:rFonts w:ascii="宋体" w:hAnsi="宋体"/>
          <w:bCs/>
          <w:sz w:val="32"/>
          <w:szCs w:val="32"/>
        </w:rPr>
      </w:pPr>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p>
    <w:p>
      <w:pPr>
        <w:jc w:val="center"/>
        <w:rPr>
          <w:rFonts w:ascii="黑体" w:eastAsia="黑体"/>
          <w:bCs/>
          <w:sz w:val="44"/>
        </w:rPr>
        <w:outlineLvl w:val="0"/>
      </w:pPr>
      <w:r>
        <w:rPr>
          <w:rFonts w:ascii="黑体" w:eastAsia="黑体"/>
          <w:bCs/>
          <w:sz w:val="44"/>
        </w:rPr>
      </w:r>
      <w:r/>
    </w:p>
    <w:p>
      <w:pPr>
        <w:ind w:firstLine="480"/>
        <w:jc w:val="center"/>
        <w:rPr>
          <w:rFonts w:ascii="宋体" w:hAnsi="宋体"/>
          <w:b/>
          <w:sz w:val="30"/>
          <w:szCs w:val="21"/>
        </w:rPr>
      </w:pPr>
      <w:r>
        <w:rPr>
          <w:rFonts w:hint="eastAsia" w:ascii="宋体" w:hAnsi="宋体"/>
          <w:b/>
          <w:sz w:val="30"/>
          <w:szCs w:val="21"/>
        </w:rPr>
        <w:t xml:space="preserve">行政中心物业服务（含联检大楼保洁、绿化养护）项目服务合同（草案）</w:t>
      </w:r>
      <w:r/>
    </w:p>
    <w:p>
      <w:pPr>
        <w:rPr>
          <w:rFonts w:ascii="宋体" w:hAnsi="宋体"/>
          <w:sz w:val="24"/>
          <w:szCs w:val="24"/>
        </w:rPr>
      </w:pPr>
      <w:r>
        <w:rPr>
          <w:rFonts w:ascii="宋体" w:hAnsi="宋体" w:cs="Courier New"/>
          <w:sz w:val="24"/>
          <w:szCs w:val="24"/>
        </w:rPr>
        <w:t xml:space="preserve">项</w:t>
      </w:r>
      <w:r>
        <w:rPr>
          <w:rFonts w:ascii="宋体" w:hAnsi="宋体"/>
          <w:sz w:val="24"/>
          <w:szCs w:val="24"/>
        </w:rPr>
        <w:t xml:space="preserve">目名称：</w:t>
      </w:r>
      <w:r>
        <w:rPr>
          <w:rFonts w:hint="eastAsia" w:ascii="宋体" w:hAnsi="宋体"/>
          <w:sz w:val="24"/>
          <w:szCs w:val="24"/>
        </w:rPr>
        <w:t xml:space="preserve">行政中心物业服务（含联检大楼保洁、绿化养护）</w:t>
      </w:r>
      <w:r>
        <w:rPr>
          <w:rFonts w:ascii="宋体" w:hAnsi="宋体"/>
          <w:sz w:val="24"/>
          <w:szCs w:val="24"/>
        </w:rPr>
        <w:t xml:space="preserve">                                   </w:t>
      </w:r>
      <w:r/>
    </w:p>
    <w:p>
      <w:pPr>
        <w:rPr>
          <w:rFonts w:ascii="宋体" w:hAnsi="宋体"/>
          <w:sz w:val="24"/>
          <w:szCs w:val="24"/>
        </w:rPr>
      </w:pPr>
      <w:r>
        <w:rPr>
          <w:rFonts w:ascii="宋体" w:hAnsi="宋体"/>
          <w:sz w:val="24"/>
          <w:szCs w:val="24"/>
        </w:rPr>
        <w:t xml:space="preserve">项目编号：</w:t>
      </w:r>
      <w:r/>
    </w:p>
    <w:p>
      <w:pPr>
        <w:rPr>
          <w:rFonts w:ascii="宋体" w:hAnsi="宋体"/>
          <w:sz w:val="24"/>
          <w:szCs w:val="24"/>
        </w:rPr>
      </w:pPr>
      <w:r>
        <w:rPr>
          <w:rFonts w:ascii="宋体" w:hAnsi="宋体"/>
          <w:sz w:val="24"/>
          <w:szCs w:val="24"/>
        </w:rPr>
        <w:t xml:space="preserve">甲方：（买方）</w:t>
      </w:r>
      <w:r>
        <w:rPr>
          <w:rFonts w:hint="eastAsia" w:ascii="宋体" w:hAnsi="宋体"/>
          <w:sz w:val="24"/>
          <w:szCs w:val="24"/>
        </w:rPr>
        <w:t xml:space="preserve">靖江市机关事务服务中心</w:t>
      </w:r>
      <w:r/>
    </w:p>
    <w:p>
      <w:pPr>
        <w:spacing w:before="120" w:after="120"/>
        <w:rPr>
          <w:rFonts w:ascii="宋体" w:hAnsi="宋体" w:cs="Courier New"/>
          <w:sz w:val="24"/>
          <w:szCs w:val="24"/>
          <w:u w:val="single"/>
        </w:rPr>
      </w:pPr>
      <w:r>
        <w:rPr>
          <w:rFonts w:ascii="宋体" w:hAnsi="宋体" w:cs="Courier New"/>
          <w:sz w:val="24"/>
          <w:szCs w:val="24"/>
        </w:rPr>
        <w:t xml:space="preserve">乙方：（卖方）</w:t>
      </w:r>
      <w:r>
        <w:rPr>
          <w:rFonts w:hint="eastAsia" w:ascii="宋体" w:hAnsi="宋体" w:cs="Courier New"/>
          <w:sz w:val="24"/>
          <w:szCs w:val="24"/>
          <w:u w:val="single"/>
        </w:rPr>
        <w:t xml:space="preserve">              </w:t>
      </w:r>
      <w:r/>
    </w:p>
    <w:p>
      <w:pPr>
        <w:rPr>
          <w:rFonts w:ascii="宋体" w:hAnsi="宋体"/>
          <w:sz w:val="24"/>
          <w:szCs w:val="24"/>
        </w:rPr>
      </w:pPr>
      <w:r>
        <w:rPr>
          <w:rFonts w:ascii="宋体" w:hAnsi="宋体"/>
          <w:sz w:val="24"/>
          <w:szCs w:val="24"/>
        </w:rPr>
        <w:t xml:space="preserve">   甲、乙双方根据</w:t>
      </w:r>
      <w:r>
        <w:rPr>
          <w:rFonts w:hint="eastAsia" w:ascii="宋体" w:hAnsi="宋体"/>
          <w:sz w:val="24"/>
          <w:szCs w:val="24"/>
        </w:rPr>
        <w:t xml:space="preserve">靖江市公共资源交易中心行政中心物业服务（含联检大楼保洁、绿化养护）项目服务</w:t>
      </w:r>
      <w:r>
        <w:rPr>
          <w:rFonts w:ascii="宋体" w:hAnsi="宋体"/>
          <w:sz w:val="24"/>
          <w:szCs w:val="24"/>
        </w:rPr>
        <w:t xml:space="preserve">项目</w:t>
      </w:r>
      <w:r>
        <w:rPr>
          <w:rFonts w:hint="eastAsia" w:ascii="宋体" w:hAnsi="宋体"/>
          <w:sz w:val="24"/>
          <w:szCs w:val="24"/>
        </w:rPr>
        <w:t xml:space="preserve">公开招标</w:t>
      </w:r>
      <w:r>
        <w:rPr>
          <w:rFonts w:ascii="宋体" w:hAnsi="宋体"/>
          <w:sz w:val="24"/>
          <w:szCs w:val="24"/>
        </w:rPr>
        <w:t xml:space="preserve">结果，签署本合同。</w:t>
      </w:r>
      <w:r/>
    </w:p>
    <w:p>
      <w:pPr>
        <w:ind w:firstLine="482"/>
        <w:spacing w:before="120" w:after="120"/>
        <w:rPr>
          <w:rFonts w:ascii="宋体" w:hAnsi="宋体" w:cs="Courier New"/>
          <w:b/>
          <w:sz w:val="24"/>
          <w:szCs w:val="24"/>
        </w:rPr>
      </w:pPr>
      <w:r>
        <w:rPr>
          <w:rFonts w:ascii="宋体" w:hAnsi="宋体" w:cs="Courier New"/>
          <w:b/>
          <w:sz w:val="24"/>
          <w:szCs w:val="24"/>
        </w:rPr>
        <w:t xml:space="preserve">一、合同条件</w:t>
      </w:r>
      <w:r/>
    </w:p>
    <w:p>
      <w:pPr>
        <w:ind w:firstLine="480"/>
        <w:rPr>
          <w:rFonts w:ascii="宋体" w:hAnsi="宋体"/>
          <w:sz w:val="24"/>
          <w:szCs w:val="24"/>
        </w:rPr>
      </w:pPr>
      <w:r>
        <w:rPr>
          <w:rFonts w:ascii="宋体" w:hAnsi="宋体"/>
          <w:sz w:val="24"/>
          <w:szCs w:val="24"/>
        </w:rPr>
        <w:t xml:space="preserve">下列关于</w:t>
      </w:r>
      <w:r>
        <w:rPr>
          <w:rFonts w:hint="eastAsia" w:ascii="宋体" w:hAnsi="宋体"/>
          <w:sz w:val="24"/>
          <w:szCs w:val="24"/>
        </w:rPr>
        <w:t xml:space="preserve">行政中心物业服务（含联检大楼保洁、绿化养护）项目服务项目</w:t>
      </w:r>
      <w:r>
        <w:rPr>
          <w:rFonts w:ascii="宋体" w:hAnsi="宋体"/>
          <w:sz w:val="24"/>
          <w:szCs w:val="24"/>
        </w:rPr>
        <w:t xml:space="preserve">（项目编号）的</w:t>
      </w:r>
      <w:r>
        <w:rPr>
          <w:rFonts w:hint="eastAsia" w:ascii="宋体" w:hAnsi="宋体"/>
          <w:sz w:val="24"/>
          <w:szCs w:val="24"/>
        </w:rPr>
        <w:t xml:space="preserve">招标</w:t>
      </w:r>
      <w:r>
        <w:rPr>
          <w:rFonts w:ascii="宋体" w:hAnsi="宋体"/>
          <w:sz w:val="24"/>
          <w:szCs w:val="24"/>
        </w:rPr>
        <w:t xml:space="preserve">文件和乙方的</w:t>
      </w:r>
      <w:r>
        <w:rPr>
          <w:rFonts w:hint="eastAsia" w:ascii="宋体" w:hAnsi="宋体"/>
          <w:sz w:val="24"/>
          <w:szCs w:val="24"/>
        </w:rPr>
        <w:t xml:space="preserve">投标</w:t>
      </w:r>
      <w:r>
        <w:rPr>
          <w:rFonts w:ascii="宋体" w:hAnsi="宋体"/>
          <w:sz w:val="24"/>
          <w:szCs w:val="24"/>
        </w:rPr>
        <w:t xml:space="preserve">文件是构成本合同不可分割的部分：</w:t>
      </w:r>
      <w:r/>
    </w:p>
    <w:p>
      <w:pPr>
        <w:ind w:firstLine="480"/>
        <w:rPr>
          <w:rFonts w:ascii="宋体" w:hAnsi="宋体"/>
          <w:sz w:val="24"/>
          <w:szCs w:val="24"/>
        </w:rPr>
      </w:pPr>
      <w:r>
        <w:rPr>
          <w:rFonts w:hint="eastAsia" w:ascii="宋体" w:hAnsi="宋体"/>
          <w:sz w:val="24"/>
          <w:szCs w:val="24"/>
        </w:rPr>
        <w:t xml:space="preserve">1、招标文件</w:t>
      </w:r>
      <w:r/>
    </w:p>
    <w:p>
      <w:pPr>
        <w:ind w:firstLine="480"/>
        <w:rPr>
          <w:rFonts w:ascii="宋体" w:hAnsi="宋体"/>
          <w:sz w:val="24"/>
          <w:szCs w:val="24"/>
        </w:rPr>
      </w:pPr>
      <w:r>
        <w:rPr>
          <w:rFonts w:hint="eastAsia" w:ascii="宋体" w:hAnsi="宋体"/>
          <w:sz w:val="24"/>
          <w:szCs w:val="24"/>
        </w:rPr>
        <w:t xml:space="preserve">2、乙方提交的投标文件和评标过程中做出的有关澄清、说明、承诺或者补正文件</w:t>
      </w:r>
      <w:r/>
    </w:p>
    <w:p>
      <w:pPr>
        <w:ind w:firstLine="480"/>
        <w:rPr>
          <w:rFonts w:ascii="宋体" w:hAnsi="宋体"/>
          <w:sz w:val="24"/>
          <w:szCs w:val="24"/>
        </w:rPr>
      </w:pPr>
      <w:r>
        <w:rPr>
          <w:rFonts w:hint="eastAsia" w:ascii="宋体" w:hAnsi="宋体"/>
          <w:sz w:val="24"/>
          <w:szCs w:val="24"/>
        </w:rPr>
        <w:t xml:space="preserve">3、中标通知书</w:t>
      </w:r>
      <w:r/>
    </w:p>
    <w:p>
      <w:pPr>
        <w:ind w:firstLine="480"/>
        <w:rPr>
          <w:rFonts w:ascii="宋体" w:hAnsi="宋体"/>
          <w:sz w:val="24"/>
          <w:szCs w:val="24"/>
        </w:rPr>
      </w:pPr>
      <w:r>
        <w:rPr>
          <w:rFonts w:hint="eastAsia" w:ascii="宋体" w:hAnsi="宋体"/>
          <w:sz w:val="24"/>
          <w:szCs w:val="24"/>
        </w:rPr>
        <w:t xml:space="preserve">4、甲乙双方商定的其他必要文件</w:t>
      </w:r>
      <w:r/>
    </w:p>
    <w:p>
      <w:pPr>
        <w:ind w:firstLine="482"/>
        <w:spacing w:before="120" w:after="120"/>
        <w:rPr>
          <w:rFonts w:ascii="宋体" w:hAnsi="宋体" w:cs="Courier New"/>
          <w:b/>
          <w:sz w:val="24"/>
          <w:szCs w:val="24"/>
        </w:rPr>
      </w:pPr>
      <w:r>
        <w:rPr>
          <w:rFonts w:ascii="宋体" w:hAnsi="宋体" w:cs="Courier New"/>
          <w:b/>
          <w:sz w:val="24"/>
          <w:szCs w:val="24"/>
        </w:rPr>
        <w:t xml:space="preserve">二、</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rPr>
          <w:rFonts w:ascii="宋体" w:hAnsi="宋体"/>
          <w:sz w:val="24"/>
          <w:szCs w:val="24"/>
        </w:rPr>
      </w:pPr>
      <w:r>
        <w:rPr>
          <w:rFonts w:ascii="宋体" w:hAnsi="宋体"/>
          <w:sz w:val="24"/>
          <w:szCs w:val="24"/>
        </w:rPr>
        <w:t xml:space="preserve">1.1 </w:t>
      </w:r>
      <w:r>
        <w:rPr>
          <w:rFonts w:hint="eastAsia" w:ascii="宋体" w:hAnsi="宋体"/>
          <w:sz w:val="24"/>
          <w:szCs w:val="24"/>
        </w:rPr>
        <w:t xml:space="preserve">标的</w:t>
      </w:r>
      <w:r>
        <w:rPr>
          <w:rFonts w:ascii="宋体" w:hAnsi="宋体"/>
          <w:sz w:val="24"/>
          <w:szCs w:val="24"/>
        </w:rPr>
        <w:t xml:space="preserve">名称： </w:t>
      </w:r>
      <w:r/>
    </w:p>
    <w:tbl>
      <w:tblPr>
        <w:tblStyle w:val="740"/>
        <w:tblW w:w="0" w:type="auto"/>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6"/>
        <w:gridCol w:w="5227"/>
      </w:tblGrid>
      <w:tr>
        <w:trPr>
          <w:trHeight w:val="557"/>
        </w:trPr>
        <w:tc>
          <w:tcPr>
            <w:tcW w:w="2626" w:type="dxa"/>
            <w:vAlign w:val="center"/>
            <w:textDirection w:val="lrTb"/>
            <w:noWrap w:val="false"/>
          </w:tcPr>
          <w:p>
            <w:pPr>
              <w:ind w:firstLine="480"/>
              <w:rPr>
                <w:rFonts w:ascii="宋体" w:hAnsi="宋体"/>
                <w:sz w:val="24"/>
                <w:szCs w:val="24"/>
              </w:rPr>
            </w:pPr>
            <w:r>
              <w:rPr>
                <w:rFonts w:hint="eastAsia" w:ascii="宋体" w:hAnsi="宋体"/>
                <w:sz w:val="24"/>
                <w:szCs w:val="24"/>
              </w:rPr>
              <w:t xml:space="preserve">物业名称</w:t>
            </w:r>
            <w:r/>
          </w:p>
        </w:tc>
        <w:tc>
          <w:tcPr>
            <w:tcW w:w="5227" w:type="dxa"/>
            <w:vAlign w:val="center"/>
            <w:textDirection w:val="lrTb"/>
            <w:noWrap w:val="false"/>
          </w:tcPr>
          <w:p>
            <w:pPr>
              <w:ind w:firstLine="480"/>
              <w:rPr>
                <w:rFonts w:ascii="宋体" w:hAnsi="宋体"/>
                <w:sz w:val="24"/>
                <w:szCs w:val="24"/>
              </w:rPr>
            </w:pPr>
            <w:r>
              <w:rPr>
                <w:rFonts w:hint="eastAsia" w:ascii="宋体" w:hAnsi="宋体"/>
                <w:sz w:val="24"/>
                <w:szCs w:val="24"/>
              </w:rPr>
              <w:t xml:space="preserve">物业地址</w:t>
            </w:r>
            <w:r/>
          </w:p>
        </w:tc>
      </w:tr>
      <w:tr>
        <w:trPr>
          <w:trHeight w:val="1009"/>
        </w:trPr>
        <w:tc>
          <w:tcPr>
            <w:tcW w:w="2626" w:type="dxa"/>
            <w:vAlign w:val="center"/>
            <w:textDirection w:val="lrTb"/>
            <w:noWrap w:val="false"/>
          </w:tcPr>
          <w:p>
            <w:pPr>
              <w:rPr>
                <w:rFonts w:ascii="宋体" w:hAnsi="宋体"/>
                <w:sz w:val="24"/>
                <w:szCs w:val="24"/>
              </w:rPr>
            </w:pPr>
            <w:r>
              <w:rPr>
                <w:rFonts w:hint="eastAsia" w:ascii="宋体" w:hAnsi="宋体"/>
                <w:sz w:val="24"/>
                <w:szCs w:val="24"/>
              </w:rPr>
              <w:t xml:space="preserve">行政中心物业服务（含联检大楼保洁、绿化养护）项目服务</w:t>
            </w:r>
            <w:r/>
          </w:p>
        </w:tc>
        <w:tc>
          <w:tcPr>
            <w:tcW w:w="5227" w:type="dxa"/>
            <w:vAlign w:val="center"/>
            <w:textDirection w:val="lrTb"/>
            <w:noWrap w:val="false"/>
          </w:tcPr>
          <w:p>
            <w:pPr>
              <w:rPr>
                <w:rFonts w:ascii="宋体" w:hAnsi="宋体"/>
                <w:sz w:val="24"/>
                <w:szCs w:val="24"/>
              </w:rPr>
            </w:pPr>
            <w:r>
              <w:rPr>
                <w:rFonts w:hint="eastAsia" w:ascii="宋体" w:hAnsi="宋体"/>
                <w:sz w:val="24"/>
                <w:szCs w:val="24"/>
              </w:rPr>
              <w:t xml:space="preserve">靖江市机关事务服务中心位于靖江市阳光大道1号。联检大楼</w:t>
            </w:r>
            <w:r>
              <w:rPr>
                <w:rFonts w:hint="eastAsia" w:ascii="宋体" w:hAnsi="宋体" w:cs="Courier New"/>
                <w:sz w:val="24"/>
                <w:lang w:bidi="ar"/>
              </w:rPr>
              <w:t xml:space="preserve">位于靖江市阳光大道1号口岸联检中心。</w:t>
            </w:r>
            <w:r/>
          </w:p>
        </w:tc>
      </w:tr>
    </w:tbl>
    <w:p>
      <w:pPr>
        <w:ind w:firstLine="480"/>
        <w:rPr>
          <w:rFonts w:ascii="宋体" w:hAnsi="宋体"/>
          <w:sz w:val="24"/>
          <w:szCs w:val="24"/>
        </w:rPr>
      </w:pPr>
      <w:r>
        <w:rPr>
          <w:rFonts w:ascii="宋体" w:hAnsi="宋体"/>
          <w:sz w:val="24"/>
          <w:szCs w:val="24"/>
        </w:rPr>
        <w:t xml:space="preserve">1.2 </w:t>
      </w:r>
      <w:r>
        <w:rPr>
          <w:rFonts w:hint="eastAsia" w:ascii="宋体" w:hAnsi="宋体"/>
          <w:sz w:val="24"/>
          <w:szCs w:val="24"/>
        </w:rPr>
        <w:t xml:space="preserve">服务范围：</w:t>
      </w:r>
      <w:r/>
    </w:p>
    <w:p>
      <w:pPr>
        <w:ind w:firstLine="480"/>
        <w:rPr>
          <w:rFonts w:ascii="宋体" w:hAnsi="宋体"/>
          <w:sz w:val="24"/>
          <w:szCs w:val="24"/>
        </w:rPr>
      </w:pPr>
      <w:r>
        <w:rPr>
          <w:rFonts w:hint="eastAsia" w:ascii="宋体" w:hAnsi="宋体"/>
          <w:sz w:val="24"/>
          <w:szCs w:val="24"/>
        </w:rPr>
        <w:t xml:space="preserve">1.3 服务内容及标准：</w:t>
      </w:r>
      <w:r/>
    </w:p>
    <w:p>
      <w:pPr>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.4服务设备：</w:t>
      </w:r>
      <w:r/>
    </w:p>
    <w:p>
      <w:pPr>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物业管理服务人员：</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 履行地点：靖江市阳光大道1号。</w:t>
      </w:r>
      <w:r/>
    </w:p>
    <w:p>
      <w:pPr>
        <w:ind w:firstLine="482"/>
        <w:spacing w:before="120" w:after="120"/>
        <w:rPr>
          <w:rFonts w:ascii="宋体" w:hAnsi="宋体" w:cs="Courier New"/>
          <w:b/>
          <w:sz w:val="24"/>
          <w:szCs w:val="24"/>
        </w:rPr>
      </w:pPr>
      <w:r>
        <w:rPr>
          <w:rFonts w:ascii="宋体" w:hAnsi="宋体" w:cs="Courier New"/>
          <w:b/>
          <w:sz w:val="24"/>
          <w:szCs w:val="24"/>
        </w:rPr>
        <w:t xml:space="preserve">三、合同金额</w:t>
      </w:r>
      <w:r/>
    </w:p>
    <w:p>
      <w:pPr>
        <w:ind w:firstLine="480"/>
        <w:rPr>
          <w:rFonts w:ascii="宋体" w:hAnsi="宋体"/>
          <w:sz w:val="24"/>
          <w:szCs w:val="24"/>
        </w:rPr>
      </w:pPr>
      <w:r>
        <w:rPr>
          <w:rFonts w:ascii="宋体" w:hAnsi="宋体"/>
          <w:sz w:val="24"/>
          <w:szCs w:val="24"/>
        </w:rPr>
        <w:t xml:space="preserve">本合同金额为（大写）：____________________________________</w:t>
      </w:r>
      <w:r>
        <w:rPr>
          <w:rFonts w:hint="eastAsia" w:ascii="宋体" w:hAnsi="宋体"/>
          <w:sz w:val="24"/>
          <w:szCs w:val="24"/>
        </w:rPr>
        <w:t xml:space="preserve">圆</w:t>
      </w:r>
      <w:r>
        <w:rPr>
          <w:rFonts w:ascii="宋体" w:hAnsi="宋体"/>
          <w:sz w:val="24"/>
          <w:szCs w:val="24"/>
        </w:rPr>
        <w:t xml:space="preserve">（_______________元）人民币</w:t>
      </w:r>
      <w:r>
        <w:rPr>
          <w:rFonts w:hint="eastAsia" w:ascii="宋体" w:hAnsi="宋体"/>
          <w:sz w:val="24"/>
          <w:szCs w:val="24"/>
        </w:rPr>
        <w:t xml:space="preserve">或其他币种</w:t>
      </w:r>
      <w:r>
        <w:rPr>
          <w:rFonts w:ascii="宋体" w:hAnsi="宋体"/>
          <w:sz w:val="24"/>
          <w:szCs w:val="24"/>
        </w:rPr>
        <w:t xml:space="preserve">。</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四、合同期限及服务费用结算方式</w:t>
      </w:r>
      <w:r/>
    </w:p>
    <w:p>
      <w:pPr>
        <w:ind w:firstLine="480"/>
        <w:rPr>
          <w:rFonts w:ascii="宋体" w:hAnsi="宋体"/>
          <w:sz w:val="24"/>
          <w:szCs w:val="24"/>
        </w:rPr>
      </w:pPr>
      <w:r>
        <w:rPr>
          <w:rFonts w:hint="eastAsia" w:ascii="宋体" w:hAnsi="宋体"/>
          <w:sz w:val="24"/>
          <w:szCs w:val="24"/>
        </w:rPr>
        <w:t xml:space="preserve">1.本合同期限为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年。自 </w:t>
      </w:r>
      <w:r>
        <w:rPr>
          <w:rFonts w:hint="eastAsia" w:ascii="宋体" w:hAnsi="宋体"/>
          <w:sz w:val="24"/>
          <w:szCs w:val="24"/>
          <w:u w:val="single"/>
        </w:rPr>
        <w:t xml:space="preserve">    年 月 日</w:t>
      </w:r>
      <w:r>
        <w:rPr>
          <w:rFonts w:hint="eastAsia" w:ascii="宋体" w:hAnsi="宋体"/>
          <w:sz w:val="24"/>
          <w:szCs w:val="24"/>
        </w:rPr>
        <w:t xml:space="preserve">起至</w:t>
      </w:r>
      <w:r>
        <w:rPr>
          <w:rFonts w:hint="eastAsia" w:ascii="宋体" w:hAnsi="宋体"/>
          <w:sz w:val="24"/>
          <w:szCs w:val="24"/>
          <w:u w:val="single"/>
        </w:rPr>
        <w:t xml:space="preserve">    年 月 日</w:t>
      </w:r>
      <w:r>
        <w:rPr>
          <w:rFonts w:hint="eastAsia" w:ascii="宋体" w:hAnsi="宋体"/>
          <w:sz w:val="24"/>
          <w:szCs w:val="24"/>
        </w:rPr>
        <w:t xml:space="preserve">止。本项目采取一次招标23个月、实行一年一签合同、分期考核、分期付款的方法。每年合同期满后（第一年从2026年2月1日至2026年12月31日，第二年从2027年1月1日至2027年12月31日），采购人根据相关政策以及中标人服务质量考核情况与中标人续签下一年合同，如出现考核不合格或甲方预算调整或服务内容重大变更等事项，则不续签。</w:t>
      </w:r>
      <w:r/>
    </w:p>
    <w:p>
      <w:pPr>
        <w:ind w:firstLine="480"/>
        <w:rPr>
          <w:rFonts w:ascii="宋体" w:hAnsi="宋体"/>
          <w:sz w:val="24"/>
          <w:szCs w:val="24"/>
        </w:rPr>
      </w:pPr>
      <w:r>
        <w:rPr>
          <w:rFonts w:hint="eastAsia" w:ascii="宋体" w:hAnsi="宋体"/>
          <w:sz w:val="24"/>
          <w:szCs w:val="24"/>
        </w:rPr>
        <w:t xml:space="preserve">2.中标价为本采购项目的固定价，中标人为保证完成本采购项目需求和服务质量增加服务人员的，采购人不再增加费用。</w:t>
      </w:r>
      <w:r/>
    </w:p>
    <w:p>
      <w:pPr>
        <w:ind w:firstLine="480"/>
        <w:rPr>
          <w:rFonts w:ascii="宋体" w:hAnsi="宋体"/>
          <w:sz w:val="24"/>
          <w:szCs w:val="24"/>
        </w:rPr>
      </w:pPr>
      <w:r>
        <w:rPr>
          <w:rFonts w:hint="eastAsia" w:ascii="宋体" w:hAnsi="宋体"/>
          <w:sz w:val="24"/>
          <w:szCs w:val="24"/>
        </w:rPr>
        <w:t xml:space="preserve">3.中标人根据本项目服务需求配备人员，采购人不得以任何理由使用中标人配备人员至其他与本项目需求无关的岗位。</w:t>
      </w:r>
      <w:r/>
    </w:p>
    <w:p>
      <w:pPr>
        <w:ind w:firstLine="480"/>
        <w:rPr>
          <w:rFonts w:ascii="宋体" w:hAnsi="宋体"/>
          <w:sz w:val="24"/>
          <w:szCs w:val="24"/>
        </w:rPr>
      </w:pPr>
      <w:r>
        <w:rPr>
          <w:rFonts w:hint="eastAsia" w:ascii="宋体" w:hAnsi="宋体"/>
          <w:sz w:val="24"/>
          <w:szCs w:val="24"/>
        </w:rPr>
        <w:t xml:space="preserve">4.付款方式：</w:t>
      </w:r>
      <w:r/>
    </w:p>
    <w:p>
      <w:pPr>
        <w:ind w:firstLine="480"/>
        <w:rPr>
          <w:rFonts w:ascii="宋体" w:hAnsi="宋体"/>
          <w:color w:val="ff0000"/>
          <w:sz w:val="24"/>
          <w:szCs w:val="24"/>
        </w:rPr>
      </w:pPr>
      <w:r>
        <w:rPr>
          <w:rFonts w:hint="eastAsia" w:ascii="宋体" w:hAnsi="宋体"/>
          <w:color w:val="ff0000"/>
          <w:sz w:val="24"/>
          <w:szCs w:val="24"/>
        </w:rPr>
        <w:t xml:space="preserve">(1)服务费每季度结算一次，乙方于到期支付前10日提出付款申请，并依据合同约定及考核情况结算季度服务费用（开具正式发票）。本项目价款一律通过银行非现金结算，汇入中标人账户。</w:t>
      </w:r>
      <w:r/>
    </w:p>
    <w:p>
      <w:pPr>
        <w:ind w:firstLine="480"/>
        <w:rPr>
          <w:rFonts w:ascii="宋体" w:hAnsi="宋体"/>
          <w:color w:val="ff0000"/>
          <w:sz w:val="24"/>
          <w:szCs w:val="24"/>
        </w:rPr>
      </w:pPr>
      <w:r>
        <w:rPr>
          <w:rFonts w:hint="eastAsia" w:ascii="宋体" w:hAnsi="宋体"/>
          <w:color w:val="ff0000"/>
          <w:sz w:val="24"/>
          <w:szCs w:val="24"/>
        </w:rPr>
        <w:t xml:space="preserve">(2)付款前提条件：供应商申请支付合同款项时，必须同时向采购人提交以下证明材料：</w:t>
      </w:r>
      <w:r/>
    </w:p>
    <w:p>
      <w:pPr>
        <w:ind w:firstLine="480"/>
        <w:rPr>
          <w:rFonts w:ascii="宋体" w:hAnsi="宋体"/>
          <w:color w:val="ff0000"/>
          <w:sz w:val="24"/>
          <w:szCs w:val="24"/>
        </w:rPr>
      </w:pPr>
      <w:r>
        <w:rPr>
          <w:rFonts w:hint="eastAsia" w:ascii="宋体" w:hAnsi="宋体"/>
          <w:color w:val="ff0000"/>
          <w:sz w:val="24"/>
          <w:szCs w:val="24"/>
        </w:rPr>
        <w:t xml:space="preserve">1)经供应商盖章确认的、申请付款周期内（即上一季度）所有项目服务人员的工资发放明细表（须包含人员姓名、发放月份、应发工资金额、实发工资金额、银行流水单号或清晰的银行转账凭证等关键信息）。</w:t>
      </w:r>
      <w:r/>
    </w:p>
    <w:p>
      <w:pPr>
        <w:ind w:firstLine="480"/>
        <w:rPr>
          <w:rFonts w:ascii="宋体" w:hAnsi="宋体"/>
          <w:color w:val="ff0000"/>
          <w:sz w:val="24"/>
          <w:szCs w:val="24"/>
        </w:rPr>
      </w:pPr>
      <w:r>
        <w:rPr>
          <w:rFonts w:hint="eastAsia" w:ascii="宋体" w:hAnsi="宋体"/>
          <w:color w:val="ff0000"/>
          <w:sz w:val="24"/>
          <w:szCs w:val="24"/>
        </w:rPr>
        <w:t xml:space="preserve">2)由社保征收机构出具的、申请付款周期内（即上一季度）所有项目服务人员的社会保险缴纳证明凭证（需清晰显示缴纳单位、人员姓名、身份证号、险种、缴费基数、缴费月份等）。</w:t>
      </w:r>
      <w:r/>
    </w:p>
    <w:p>
      <w:pPr>
        <w:ind w:firstLine="480"/>
        <w:rPr>
          <w:rFonts w:ascii="宋体" w:hAnsi="宋体"/>
          <w:color w:val="ff0000"/>
          <w:sz w:val="24"/>
          <w:szCs w:val="24"/>
        </w:rPr>
      </w:pPr>
      <w:r>
        <w:rPr>
          <w:rFonts w:hint="eastAsia" w:ascii="宋体" w:hAnsi="宋体"/>
          <w:color w:val="ff0000"/>
          <w:sz w:val="24"/>
          <w:szCs w:val="24"/>
        </w:rPr>
        <w:t xml:space="preserve">（3）付款决定：</w:t>
      </w:r>
      <w:r/>
    </w:p>
    <w:p>
      <w:pPr>
        <w:ind w:firstLine="480"/>
        <w:rPr>
          <w:rFonts w:ascii="宋体" w:hAnsi="宋体"/>
          <w:color w:val="ff0000"/>
          <w:sz w:val="24"/>
          <w:szCs w:val="24"/>
        </w:rPr>
      </w:pPr>
      <w:r>
        <w:rPr>
          <w:rFonts w:hint="eastAsia" w:ascii="宋体" w:hAnsi="宋体"/>
          <w:color w:val="ff0000"/>
          <w:sz w:val="24"/>
          <w:szCs w:val="24"/>
        </w:rPr>
        <w:t xml:space="preserve">1）若上述付款前提条件所提供的材料真实、完整、有效，且能证明供应商履约符合招标文件及合同约定，同时当期服务考核结果满足合同约定的支付条件，则采购人按合同约定比例和金额支付该期款项。</w:t>
      </w:r>
      <w:r/>
    </w:p>
    <w:p>
      <w:pPr>
        <w:ind w:firstLine="480"/>
        <w:rPr>
          <w:rFonts w:ascii="宋体" w:hAnsi="宋体"/>
          <w:color w:val="ff0000"/>
          <w:sz w:val="24"/>
          <w:szCs w:val="24"/>
        </w:rPr>
      </w:pPr>
      <w:r>
        <w:rPr>
          <w:rFonts w:hint="eastAsia" w:ascii="宋体" w:hAnsi="宋体"/>
          <w:color w:val="ff0000"/>
          <w:sz w:val="24"/>
          <w:szCs w:val="24"/>
        </w:rPr>
        <w:t xml:space="preserve">2）若上述（3）付款决定中所提供的材料缺失、无效、不完整，或经核实证明供应商投入的人员数量、资质不符合招标文件及合同约定，或当期服务考核结果未满足合同约定的支付条件，采购人有权：</w:t>
      </w:r>
      <w:r/>
    </w:p>
    <w:p>
      <w:pPr>
        <w:ind w:firstLine="480"/>
        <w:rPr>
          <w:rFonts w:ascii="宋体" w:hAnsi="宋体"/>
          <w:color w:val="ff0000"/>
          <w:sz w:val="24"/>
          <w:szCs w:val="24"/>
        </w:rPr>
      </w:pPr>
      <w:r>
        <w:rPr>
          <w:rFonts w:hint="eastAsia" w:ascii="宋体" w:hAnsi="宋体"/>
          <w:color w:val="ff0000"/>
          <w:sz w:val="24"/>
          <w:szCs w:val="24"/>
        </w:rPr>
        <w:t xml:space="preserve">要求供应商补充材料或说明；</w:t>
      </w:r>
      <w:r/>
    </w:p>
    <w:p>
      <w:pPr>
        <w:ind w:firstLine="480"/>
        <w:rPr>
          <w:rFonts w:ascii="宋体" w:hAnsi="宋体"/>
          <w:color w:val="ff0000"/>
          <w:sz w:val="24"/>
          <w:szCs w:val="24"/>
        </w:rPr>
      </w:pPr>
      <w:r>
        <w:rPr>
          <w:rFonts w:hint="eastAsia" w:ascii="宋体" w:hAnsi="宋体"/>
          <w:color w:val="ff0000"/>
          <w:sz w:val="24"/>
          <w:szCs w:val="24"/>
        </w:rPr>
        <w:t xml:space="preserve">暂停支付全部或部分该期款项；</w:t>
      </w:r>
      <w:r/>
    </w:p>
    <w:p>
      <w:pPr>
        <w:ind w:firstLine="480"/>
        <w:rPr>
          <w:rFonts w:ascii="宋体" w:hAnsi="宋体"/>
          <w:color w:val="ff0000"/>
          <w:sz w:val="24"/>
          <w:szCs w:val="24"/>
        </w:rPr>
      </w:pPr>
      <w:r>
        <w:rPr>
          <w:rFonts w:hint="eastAsia" w:ascii="宋体" w:hAnsi="宋体"/>
          <w:color w:val="ff0000"/>
          <w:sz w:val="24"/>
          <w:szCs w:val="24"/>
        </w:rPr>
        <w:t xml:space="preserve">根据考核结果和合同约定，扣减相应比例的合同款项作为违约金；</w:t>
      </w:r>
      <w:r/>
    </w:p>
    <w:p>
      <w:pPr>
        <w:ind w:firstLine="480"/>
        <w:rPr>
          <w:rFonts w:ascii="宋体" w:hAnsi="宋体"/>
          <w:color w:val="ff0000"/>
          <w:sz w:val="24"/>
          <w:szCs w:val="24"/>
        </w:rPr>
      </w:pPr>
      <w:r>
        <w:rPr>
          <w:rFonts w:hint="eastAsia" w:ascii="宋体" w:hAnsi="宋体"/>
          <w:color w:val="ff0000"/>
          <w:sz w:val="24"/>
          <w:szCs w:val="24"/>
        </w:rPr>
        <w:t xml:space="preserve">视情节严重程度，启动违约处理程序。</w:t>
      </w:r>
      <w:r/>
    </w:p>
    <w:p>
      <w:pPr>
        <w:ind w:firstLine="480"/>
        <w:rPr>
          <w:rFonts w:ascii="宋体" w:hAnsi="宋体"/>
          <w:color w:val="ff0000"/>
          <w:sz w:val="24"/>
          <w:szCs w:val="24"/>
        </w:rPr>
      </w:pPr>
      <w:r>
        <w:rPr>
          <w:rFonts w:hint="eastAsia" w:ascii="宋体" w:hAnsi="宋体"/>
          <w:color w:val="ff0000"/>
          <w:sz w:val="24"/>
          <w:szCs w:val="24"/>
        </w:rPr>
        <w:t xml:space="preserve">3）供应商提供虚假材料的，一经查实，采购人有权立即暂停或终止付款，并视为严重违约，可依据合同条款追究其一切法律责任。</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五、履约保证金</w:t>
      </w:r>
      <w:r/>
    </w:p>
    <w:p>
      <w:pPr>
        <w:ind w:firstLine="480"/>
        <w:rPr>
          <w:rFonts w:ascii="宋体" w:hAnsi="宋体"/>
          <w:sz w:val="24"/>
          <w:szCs w:val="24"/>
        </w:rPr>
      </w:pPr>
      <w:r>
        <w:rPr>
          <w:rFonts w:hint="eastAsia" w:ascii="宋体" w:hAnsi="宋体"/>
          <w:sz w:val="24"/>
          <w:szCs w:val="24"/>
        </w:rPr>
        <w:t xml:space="preserve">1.履约保证金缴纳金额：年度合同价的</w:t>
      </w:r>
      <w:r>
        <w:rPr>
          <w:rFonts w:ascii="宋体" w:hAnsi="宋体"/>
          <w:sz w:val="24"/>
          <w:szCs w:val="24"/>
        </w:rPr>
        <w:t xml:space="preserve">10%</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2.递交履约保证金的时间：中标后签订合同前。</w:t>
      </w:r>
      <w:r/>
    </w:p>
    <w:p>
      <w:pPr>
        <w:ind w:firstLine="480"/>
        <w:rPr>
          <w:rFonts w:ascii="宋体" w:hAnsi="宋体"/>
          <w:sz w:val="24"/>
          <w:szCs w:val="24"/>
        </w:rPr>
      </w:pPr>
      <w:r>
        <w:rPr>
          <w:rFonts w:hint="eastAsia" w:ascii="宋体" w:hAnsi="宋体"/>
          <w:sz w:val="24"/>
          <w:szCs w:val="24"/>
        </w:rPr>
        <w:t xml:space="preserve">3.递交方式：电子履约保函（推荐方式）、银行保函、保证保险。保函的有效截止期应不少于合同有效期。</w:t>
      </w:r>
      <w:r/>
    </w:p>
    <w:p>
      <w:pPr>
        <w:ind w:firstLine="480"/>
        <w:rPr>
          <w:rFonts w:ascii="宋体" w:hAnsi="宋体"/>
          <w:sz w:val="24"/>
          <w:szCs w:val="24"/>
        </w:rPr>
      </w:pPr>
      <w:r>
        <w:rPr>
          <w:rFonts w:hint="eastAsia" w:ascii="宋体" w:hAnsi="宋体"/>
          <w:sz w:val="24"/>
          <w:szCs w:val="24"/>
        </w:rPr>
        <w:t xml:space="preserve">4.履约保证金的有效期：自提交之日起至项目服务期满止。</w:t>
      </w:r>
      <w:r/>
    </w:p>
    <w:p>
      <w:pPr>
        <w:ind w:firstLine="480"/>
        <w:rPr>
          <w:rFonts w:ascii="宋体" w:hAnsi="宋体"/>
          <w:sz w:val="24"/>
          <w:szCs w:val="24"/>
        </w:rPr>
      </w:pPr>
      <w:r>
        <w:rPr>
          <w:rFonts w:hint="eastAsia" w:ascii="宋体" w:hAnsi="宋体"/>
          <w:sz w:val="24"/>
          <w:szCs w:val="24"/>
        </w:rPr>
        <w:t xml:space="preserve">5.如果乙方在规定的合同签订时间内，没有按照招标文件的规定缴纳履约保证金，且又无正当理由的，将视为放弃中标。</w:t>
      </w:r>
      <w:r/>
    </w:p>
    <w:p>
      <w:pPr>
        <w:ind w:firstLine="480"/>
        <w:rPr>
          <w:rFonts w:ascii="宋体" w:hAnsi="宋体"/>
          <w:sz w:val="24"/>
          <w:szCs w:val="24"/>
        </w:rPr>
      </w:pPr>
      <w:r>
        <w:rPr>
          <w:rFonts w:hint="eastAsia" w:ascii="宋体" w:hAnsi="宋体"/>
          <w:sz w:val="24"/>
          <w:szCs w:val="24"/>
        </w:rPr>
        <w:t xml:space="preserve">6.若乙方未能履行合同规定的义务，甲方有权从履约保证金中取得补偿。履约保证金不足时，甲方有权通知中标单位补足履约保证金，如拒缴或长时间不缴</w:t>
      </w:r>
      <w:r>
        <w:rPr>
          <w:rFonts w:ascii="宋体" w:hAnsi="宋体"/>
          <w:sz w:val="24"/>
          <w:szCs w:val="24"/>
        </w:rPr>
        <w:t xml:space="preserve">(</w:t>
      </w:r>
      <w:r>
        <w:rPr>
          <w:rFonts w:hint="eastAsia" w:ascii="宋体" w:hAnsi="宋体"/>
          <w:sz w:val="24"/>
          <w:szCs w:val="24"/>
        </w:rPr>
        <w:t xml:space="preserve">以甲方开据缴款通知单起一个月为限</w:t>
      </w:r>
      <w:r>
        <w:rPr>
          <w:rFonts w:ascii="宋体" w:hAnsi="宋体"/>
          <w:sz w:val="24"/>
          <w:szCs w:val="24"/>
        </w:rPr>
        <w:t xml:space="preserve">)</w:t>
      </w:r>
      <w:r>
        <w:rPr>
          <w:rFonts w:hint="eastAsia" w:ascii="宋体" w:hAnsi="宋体"/>
          <w:sz w:val="24"/>
          <w:szCs w:val="24"/>
        </w:rPr>
        <w:t xml:space="preserve">，甲方有权从物业服务费中扣取部分补足履约保证金。</w:t>
      </w:r>
      <w:r/>
    </w:p>
    <w:p>
      <w:pPr>
        <w:ind w:firstLine="480"/>
        <w:rPr>
          <w:rFonts w:ascii="宋体" w:hAnsi="宋体"/>
          <w:sz w:val="24"/>
          <w:szCs w:val="24"/>
        </w:rPr>
      </w:pPr>
      <w:r>
        <w:rPr>
          <w:rFonts w:hint="eastAsia" w:ascii="宋体" w:hAnsi="宋体"/>
          <w:sz w:val="24"/>
          <w:szCs w:val="24"/>
        </w:rPr>
        <w:t xml:space="preserve">7.履约保证金退还条件：乙方按照招标文件、投标文件、合同要求实施该项目并通过甲方的认可。</w:t>
      </w:r>
      <w:r/>
    </w:p>
    <w:p>
      <w:pPr>
        <w:ind w:firstLine="480"/>
        <w:rPr>
          <w:rFonts w:ascii="宋体" w:hAnsi="宋体"/>
          <w:sz w:val="24"/>
          <w:szCs w:val="24"/>
        </w:rPr>
      </w:pPr>
      <w:r>
        <w:rPr>
          <w:rFonts w:hint="eastAsia" w:ascii="宋体" w:hAnsi="宋体"/>
          <w:sz w:val="24"/>
          <w:szCs w:val="24"/>
        </w:rPr>
        <w:t xml:space="preserve">8.退还履约保证金的方式：合同履行结束后，甲方应及时无息退还乙方缴纳的履约保证金至乙方账户。</w:t>
      </w:r>
      <w:r/>
    </w:p>
    <w:p>
      <w:pPr>
        <w:ind w:firstLine="480"/>
        <w:rPr>
          <w:rFonts w:ascii="宋体" w:hAnsi="宋体"/>
          <w:sz w:val="24"/>
          <w:szCs w:val="24"/>
        </w:rPr>
      </w:pPr>
      <w:r>
        <w:rPr>
          <w:rFonts w:hint="eastAsia" w:ascii="宋体" w:hAnsi="宋体"/>
          <w:sz w:val="24"/>
          <w:szCs w:val="24"/>
        </w:rPr>
        <w:t xml:space="preserve">9.履约保证金退还时间：履约保证金在项目验收合格后且服务期满后的三十日内退还。</w:t>
      </w:r>
      <w:r/>
    </w:p>
    <w:p>
      <w:pPr>
        <w:ind w:firstLine="480"/>
        <w:rPr>
          <w:rFonts w:ascii="宋体" w:hAnsi="宋体"/>
          <w:sz w:val="24"/>
          <w:szCs w:val="24"/>
        </w:rPr>
      </w:pPr>
      <w:r>
        <w:rPr>
          <w:rFonts w:hint="eastAsia" w:ascii="宋体" w:hAnsi="宋体"/>
          <w:sz w:val="24"/>
          <w:szCs w:val="24"/>
        </w:rPr>
        <w:t xml:space="preserve">10.履约保证金不予退还的情形：中标人不诚信履行合同的，履约保证金不予退还，给招标人造成的损失超过履约保证金数额的，还应当对超过部分予以赔偿。</w:t>
      </w:r>
      <w:r/>
    </w:p>
    <w:p>
      <w:pPr>
        <w:ind w:firstLine="480"/>
        <w:rPr>
          <w:rFonts w:ascii="宋体" w:hAnsi="宋体"/>
          <w:sz w:val="24"/>
          <w:szCs w:val="24"/>
        </w:rPr>
      </w:pPr>
      <w:r>
        <w:rPr>
          <w:rFonts w:hint="eastAsia" w:ascii="宋体" w:hAnsi="宋体"/>
          <w:sz w:val="24"/>
          <w:szCs w:val="24"/>
        </w:rPr>
        <w:t xml:space="preserve">11.逾期退还履约保证金的违约责任：甲方逾期退还履约保证金的，每逾期一日支付乙方</w:t>
      </w:r>
      <w:r>
        <w:rPr>
          <w:rFonts w:ascii="宋体" w:hAnsi="宋体"/>
          <w:sz w:val="24"/>
          <w:szCs w:val="24"/>
        </w:rPr>
        <w:t xml:space="preserve">200</w:t>
      </w:r>
      <w:r>
        <w:rPr>
          <w:rFonts w:hint="eastAsia" w:ascii="宋体" w:hAnsi="宋体"/>
          <w:sz w:val="24"/>
          <w:szCs w:val="24"/>
        </w:rPr>
        <w:t xml:space="preserve">元作为违约金。</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六、 甲方的权利和义务</w:t>
      </w:r>
      <w:r/>
    </w:p>
    <w:p>
      <w:pPr>
        <w:ind w:firstLine="480"/>
        <w:rPr>
          <w:rFonts w:ascii="宋体" w:hAnsi="宋体"/>
          <w:sz w:val="24"/>
          <w:szCs w:val="24"/>
        </w:rPr>
      </w:pPr>
      <w:r>
        <w:rPr>
          <w:rFonts w:hint="eastAsia" w:ascii="宋体" w:hAnsi="宋体"/>
          <w:sz w:val="24"/>
          <w:szCs w:val="24"/>
        </w:rPr>
        <w:t xml:space="preserve">1.对不认真履职或不遵守甲方规章制度，影响甲方正常运行的服务人员，甲方可以要求乙方调换。</w:t>
      </w:r>
      <w:r/>
    </w:p>
    <w:p>
      <w:pPr>
        <w:ind w:firstLine="480"/>
        <w:rPr>
          <w:rFonts w:ascii="宋体" w:hAnsi="宋体"/>
          <w:sz w:val="24"/>
          <w:szCs w:val="24"/>
        </w:rPr>
      </w:pPr>
      <w:r>
        <w:rPr>
          <w:rFonts w:hint="eastAsia" w:ascii="宋体" w:hAnsi="宋体"/>
          <w:sz w:val="24"/>
          <w:szCs w:val="24"/>
        </w:rPr>
        <w:t xml:space="preserve">2.甲方有权对乙方工作人员进行身份、年龄核对，以身份证为准；甲方有权对乙方工作人员进行合理询问，依据合同检查是否执行岗位服务内容。</w:t>
      </w:r>
      <w:r/>
    </w:p>
    <w:p>
      <w:pPr>
        <w:ind w:firstLine="480"/>
        <w:rPr>
          <w:rFonts w:ascii="宋体" w:hAnsi="宋体"/>
          <w:sz w:val="24"/>
          <w:szCs w:val="24"/>
        </w:rPr>
      </w:pPr>
      <w:r>
        <w:rPr>
          <w:rFonts w:hint="eastAsia" w:ascii="宋体" w:hAnsi="宋体"/>
          <w:sz w:val="24"/>
          <w:szCs w:val="24"/>
        </w:rPr>
        <w:t xml:space="preserve">3.甲方有权利在物业服务期限内依据招标文件、合同中规定的物业管理服务内容及标准要求、相关规定等，对乙方的服务质量、甲方满意度等进行考核；考核实行季度打分制，满分为100分，95分为基准合格分，每下降1分在季度结算服务费时扣减500元。年度满意率标准为95%，每下降一个百分点，扣除年服务费1%，年底从物业费中扣除。季度满意率连续两次低于85%，采购方有权终止与该供应商的合同，且不承担供应商由此造成的损失。(考核表详见附件）</w:t>
      </w:r>
      <w:r/>
    </w:p>
    <w:p>
      <w:pPr>
        <w:ind w:firstLine="480"/>
        <w:rPr>
          <w:rFonts w:ascii="宋体" w:hAnsi="宋体"/>
          <w:sz w:val="24"/>
          <w:szCs w:val="24"/>
        </w:rPr>
      </w:pPr>
      <w:r>
        <w:rPr>
          <w:rFonts w:hint="eastAsia" w:ascii="宋体" w:hAnsi="宋体"/>
          <w:sz w:val="24"/>
          <w:szCs w:val="24"/>
        </w:rPr>
        <w:t xml:space="preserve">4.甲方安排专人对乙方服务情况进行考核，及时提出整改意见。乙方对甲方提出的合理要求应当及时整改，并明确一名工作人员与甲方对接有关工作情况。甲方如对乙方个别工作人员服务不满意的，可要求乙方更换不合格的工作人员。</w:t>
      </w:r>
      <w:r/>
    </w:p>
    <w:p>
      <w:pPr>
        <w:ind w:firstLine="480"/>
        <w:rPr>
          <w:rFonts w:ascii="宋体" w:hAnsi="宋体"/>
          <w:sz w:val="24"/>
          <w:szCs w:val="24"/>
        </w:rPr>
      </w:pPr>
      <w:r>
        <w:rPr>
          <w:rFonts w:hint="eastAsia" w:ascii="宋体" w:hAnsi="宋体"/>
          <w:sz w:val="24"/>
          <w:szCs w:val="24"/>
        </w:rPr>
        <w:t xml:space="preserve">5.向乙方提供物业管理工作所必需的水电，甲方根据物业工作实际需要提供相应的物业管理用房交物业管理人员使用。 </w:t>
      </w:r>
      <w:r/>
    </w:p>
    <w:p>
      <w:pPr>
        <w:ind w:firstLine="480"/>
        <w:rPr>
          <w:rFonts w:ascii="宋体" w:hAnsi="宋体"/>
          <w:sz w:val="24"/>
          <w:szCs w:val="24"/>
        </w:rPr>
      </w:pPr>
      <w:r>
        <w:rPr>
          <w:rFonts w:hint="eastAsia" w:ascii="宋体" w:hAnsi="宋体"/>
          <w:sz w:val="24"/>
          <w:szCs w:val="24"/>
        </w:rPr>
        <w:t xml:space="preserve">6.负责对乙方的工作实施检查和管理，依据考核细则，进行考核评定，并与乙方商量解决有关问题。</w:t>
      </w:r>
      <w:r/>
    </w:p>
    <w:p>
      <w:pPr>
        <w:ind w:firstLine="480"/>
        <w:rPr>
          <w:rFonts w:ascii="宋体" w:hAnsi="宋体"/>
          <w:sz w:val="24"/>
          <w:szCs w:val="24"/>
        </w:rPr>
      </w:pPr>
      <w:r>
        <w:rPr>
          <w:rFonts w:hint="eastAsia" w:ascii="宋体" w:hAnsi="宋体"/>
          <w:sz w:val="24"/>
          <w:szCs w:val="24"/>
        </w:rPr>
        <w:t xml:space="preserve">乙方发生下列情形之一的，甲方有权立即解除合同，并由中标人承担违约责任。</w:t>
      </w:r>
      <w:r/>
    </w:p>
    <w:p>
      <w:pPr>
        <w:ind w:firstLine="480"/>
        <w:rPr>
          <w:rFonts w:ascii="宋体" w:hAnsi="宋体"/>
          <w:sz w:val="24"/>
          <w:szCs w:val="24"/>
        </w:rPr>
      </w:pPr>
      <w:r>
        <w:rPr>
          <w:rFonts w:hint="eastAsia" w:ascii="宋体" w:hAnsi="宋体"/>
          <w:sz w:val="24"/>
          <w:szCs w:val="24"/>
        </w:rPr>
        <w:t xml:space="preserve">①乙方对不符合服务质量要求的问题拒不整改，采购人在检查考核中发现 3 次以上的。</w:t>
      </w:r>
      <w:r/>
    </w:p>
    <w:p>
      <w:pPr>
        <w:ind w:firstLine="480"/>
        <w:rPr>
          <w:rFonts w:ascii="宋体" w:hAnsi="宋体"/>
          <w:sz w:val="24"/>
          <w:szCs w:val="24"/>
        </w:rPr>
      </w:pPr>
      <w:r>
        <w:rPr>
          <w:rFonts w:hint="eastAsia" w:ascii="宋体" w:hAnsi="宋体"/>
          <w:sz w:val="24"/>
          <w:szCs w:val="24"/>
        </w:rPr>
        <w:t xml:space="preserve">②经采购人测评，服务对象满意率连续两次低于85%。</w:t>
      </w:r>
      <w:r/>
    </w:p>
    <w:p>
      <w:pPr>
        <w:ind w:firstLine="480"/>
        <w:rPr>
          <w:rFonts w:ascii="宋体" w:hAnsi="宋体"/>
          <w:sz w:val="24"/>
          <w:szCs w:val="24"/>
        </w:rPr>
      </w:pPr>
      <w:r>
        <w:rPr>
          <w:rFonts w:hint="eastAsia" w:ascii="宋体" w:hAnsi="宋体"/>
          <w:sz w:val="24"/>
          <w:szCs w:val="24"/>
        </w:rPr>
        <w:t xml:space="preserve">③发生中标人人员责任的重大安全事故。</w:t>
      </w:r>
      <w:r/>
    </w:p>
    <w:p>
      <w:pPr>
        <w:ind w:firstLine="480"/>
        <w:rPr>
          <w:rFonts w:ascii="宋体" w:hAnsi="宋体"/>
          <w:sz w:val="24"/>
          <w:szCs w:val="24"/>
        </w:rPr>
      </w:pPr>
      <w:r>
        <w:rPr>
          <w:rFonts w:hint="eastAsia" w:ascii="宋体" w:hAnsi="宋体"/>
          <w:sz w:val="24"/>
          <w:szCs w:val="24"/>
        </w:rPr>
        <w:t xml:space="preserve">④违反国家相关政策法规，违法用工的。</w:t>
      </w:r>
      <w:r/>
    </w:p>
    <w:p>
      <w:pPr>
        <w:ind w:firstLine="480"/>
        <w:rPr>
          <w:rFonts w:ascii="宋体" w:hAnsi="宋体"/>
          <w:sz w:val="24"/>
          <w:szCs w:val="24"/>
        </w:rPr>
      </w:pPr>
      <w:r>
        <w:rPr>
          <w:rFonts w:hint="eastAsia" w:ascii="宋体" w:hAnsi="宋体"/>
          <w:sz w:val="24"/>
          <w:szCs w:val="24"/>
        </w:rPr>
        <w:t xml:space="preserve">⑤中标人有违反本招标文件任何条款行为的。</w:t>
      </w:r>
      <w:r/>
    </w:p>
    <w:p>
      <w:pPr>
        <w:ind w:firstLine="480"/>
        <w:rPr>
          <w:rFonts w:ascii="宋体" w:hAnsi="宋体"/>
          <w:sz w:val="24"/>
          <w:szCs w:val="24"/>
        </w:rPr>
      </w:pPr>
      <w:r>
        <w:rPr>
          <w:rFonts w:hint="eastAsia" w:ascii="宋体" w:hAnsi="宋体"/>
          <w:sz w:val="24"/>
          <w:szCs w:val="24"/>
        </w:rPr>
        <w:t xml:space="preserve">7.对乙方相关节能工作进行督促、管理，加大对乙方节能管理力度。</w:t>
      </w:r>
      <w:r/>
    </w:p>
    <w:p>
      <w:pPr>
        <w:ind w:firstLine="480"/>
        <w:rPr>
          <w:rFonts w:ascii="宋体" w:hAnsi="宋体"/>
          <w:sz w:val="24"/>
          <w:szCs w:val="24"/>
        </w:rPr>
      </w:pPr>
      <w:r>
        <w:rPr>
          <w:rFonts w:hint="eastAsia" w:ascii="宋体" w:hAnsi="宋体"/>
          <w:sz w:val="24"/>
          <w:szCs w:val="24"/>
        </w:rPr>
        <w:t xml:space="preserve">8.据有关部门的要求，协调乙方妥善处理与物业管理服务相关的爱国卫生等工作。协助乙方做好有关项目管理的宣传教育，协调乙方与地方行政管理部门的关系。</w:t>
      </w:r>
      <w:r/>
    </w:p>
    <w:p>
      <w:pPr>
        <w:ind w:firstLine="480"/>
        <w:rPr>
          <w:rFonts w:ascii="宋体" w:hAnsi="宋体"/>
          <w:sz w:val="24"/>
          <w:szCs w:val="24"/>
        </w:rPr>
      </w:pPr>
      <w:r>
        <w:rPr>
          <w:rFonts w:hint="eastAsia" w:ascii="宋体" w:hAnsi="宋体"/>
          <w:sz w:val="24"/>
          <w:szCs w:val="24"/>
        </w:rPr>
        <w:t xml:space="preserve">9.审议乙方服务项目的年度计划、工作安排并予以监督。</w:t>
      </w:r>
      <w:r/>
    </w:p>
    <w:p>
      <w:pPr>
        <w:ind w:firstLine="480"/>
        <w:rPr>
          <w:rFonts w:ascii="宋体" w:hAnsi="宋体"/>
          <w:sz w:val="24"/>
          <w:szCs w:val="24"/>
        </w:rPr>
      </w:pPr>
      <w:r>
        <w:rPr>
          <w:rFonts w:hint="eastAsia" w:ascii="宋体" w:hAnsi="宋体"/>
          <w:sz w:val="24"/>
          <w:szCs w:val="24"/>
        </w:rPr>
        <w:t xml:space="preserve">10.甲方有权按照合同约定和法律规定的标准规范，对乙方实施的物业管理服务提出修改和变更建议。</w:t>
      </w:r>
      <w:r/>
    </w:p>
    <w:p>
      <w:pPr>
        <w:ind w:firstLine="480"/>
        <w:rPr>
          <w:rFonts w:ascii="宋体" w:hAnsi="宋体"/>
          <w:sz w:val="24"/>
          <w:szCs w:val="24"/>
        </w:rPr>
      </w:pPr>
      <w:r>
        <w:rPr>
          <w:rFonts w:hint="eastAsia" w:ascii="宋体" w:hAnsi="宋体"/>
          <w:sz w:val="24"/>
          <w:szCs w:val="24"/>
        </w:rPr>
        <w:t xml:space="preserve">11.负责协调、处理、解决本合同生效前发生的遗留问题，便于乙方开展工作。</w:t>
      </w:r>
      <w:r/>
    </w:p>
    <w:p>
      <w:pPr>
        <w:ind w:firstLine="480"/>
        <w:rPr>
          <w:rFonts w:ascii="宋体" w:hAnsi="宋体"/>
          <w:sz w:val="24"/>
          <w:szCs w:val="24"/>
        </w:rPr>
      </w:pPr>
      <w:r>
        <w:rPr>
          <w:rFonts w:hint="eastAsia" w:ascii="宋体" w:hAnsi="宋体"/>
          <w:sz w:val="24"/>
          <w:szCs w:val="24"/>
        </w:rPr>
        <w:t xml:space="preserve">12.法律、法规规定由业主承担的其他责任。</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七、 乙方的权利和义务</w:t>
      </w:r>
      <w:r/>
    </w:p>
    <w:p>
      <w:pPr>
        <w:ind w:firstLine="480"/>
        <w:rPr>
          <w:rFonts w:ascii="宋体" w:hAnsi="宋体"/>
          <w:sz w:val="24"/>
          <w:szCs w:val="24"/>
        </w:rPr>
      </w:pPr>
      <w:r>
        <w:rPr>
          <w:rFonts w:hint="eastAsia" w:ascii="宋体" w:hAnsi="宋体"/>
          <w:sz w:val="24"/>
          <w:szCs w:val="24"/>
        </w:rPr>
        <w:t xml:space="preserve">1.乙方应根据有关法律、法规政策、招投标文件及本合同的规定，实行专业化的物业管理服务。遵照甲方规定时限，严格履行甲方（招标文件）和乙方（投标文件）各项规章制度，规定保质保量完成工作任务，并无条件的接受甲方的管理和考核。</w:t>
      </w:r>
      <w:r/>
    </w:p>
    <w:p>
      <w:pPr>
        <w:ind w:firstLine="480"/>
        <w:rPr>
          <w:rFonts w:ascii="宋体" w:hAnsi="宋体"/>
          <w:sz w:val="24"/>
          <w:szCs w:val="24"/>
        </w:rPr>
      </w:pPr>
      <w:r>
        <w:rPr>
          <w:rFonts w:hint="eastAsia" w:ascii="宋体" w:hAnsi="宋体"/>
          <w:sz w:val="24"/>
          <w:szCs w:val="24"/>
        </w:rPr>
        <w:t xml:space="preserve">2.乙方有权根据招标文件及投标文件要求安排和组织工作人员上岗，统一着装，挂牌服务，文明操作，爱护公共财产，如有损坏照价赔偿。</w:t>
      </w:r>
      <w:r/>
    </w:p>
    <w:p>
      <w:pPr>
        <w:ind w:firstLine="480"/>
        <w:rPr>
          <w:rFonts w:ascii="宋体" w:hAnsi="宋体"/>
          <w:sz w:val="24"/>
          <w:szCs w:val="24"/>
        </w:rPr>
      </w:pPr>
      <w:r>
        <w:rPr>
          <w:rFonts w:hint="eastAsia" w:ascii="宋体" w:hAnsi="宋体"/>
          <w:sz w:val="24"/>
          <w:szCs w:val="24"/>
        </w:rPr>
        <w:t xml:space="preserve">3.乙方应满足甲方对工作人员人数和服务质量要求，对达不到要求的人员进行更换。如需调整人员，须事先得到甲方同意。对甲方提出认为不适合的在岗人员，乙方应在接到甲方变更在岗人员要求后及时作出调整。本项目服务人员不得在其他项目兼职。</w:t>
      </w:r>
      <w:r/>
    </w:p>
    <w:p>
      <w:pPr>
        <w:ind w:firstLine="480"/>
        <w:rPr>
          <w:rFonts w:ascii="宋体" w:hAnsi="宋体"/>
          <w:sz w:val="24"/>
          <w:szCs w:val="24"/>
        </w:rPr>
      </w:pPr>
      <w:r>
        <w:rPr>
          <w:rFonts w:hint="eastAsia" w:ascii="宋体" w:hAnsi="宋体"/>
          <w:sz w:val="24"/>
          <w:szCs w:val="24"/>
        </w:rPr>
        <w:t xml:space="preserve">4.乙方应保证从事本项目的人员具备相应的职业资格和应有的素质，有关服务工种的人员，必须按国家规定具备相关工种上岗证条件。做好从业人员有关政治素养方面的审核，负责对物业管理人员进行岗前培训和经常性的职业道德、业务技能培训教育，尤其要加强安全教育，严格遵守业主有关规章制度。</w:t>
      </w:r>
      <w:r/>
    </w:p>
    <w:p>
      <w:pPr>
        <w:ind w:firstLine="480"/>
        <w:rPr>
          <w:rFonts w:ascii="宋体" w:hAnsi="宋体"/>
          <w:sz w:val="24"/>
          <w:szCs w:val="24"/>
        </w:rPr>
      </w:pPr>
      <w:r>
        <w:rPr>
          <w:rFonts w:hint="eastAsia" w:ascii="宋体" w:hAnsi="宋体"/>
          <w:sz w:val="24"/>
          <w:szCs w:val="24"/>
        </w:rPr>
        <w:t xml:space="preserve">5.乙方不得将本项目直接或者间接方式转包或者分包给第三方及其他个人。</w:t>
      </w:r>
      <w:r/>
    </w:p>
    <w:p>
      <w:pPr>
        <w:ind w:firstLine="480"/>
        <w:rPr>
          <w:rFonts w:ascii="宋体" w:hAnsi="宋体"/>
          <w:sz w:val="24"/>
          <w:szCs w:val="24"/>
        </w:rPr>
      </w:pPr>
      <w:r>
        <w:rPr>
          <w:rFonts w:hint="eastAsia" w:ascii="宋体" w:hAnsi="宋体"/>
          <w:sz w:val="24"/>
          <w:szCs w:val="24"/>
        </w:rPr>
        <w:t xml:space="preserve">6.乙方应按照本合同约定工作内容提供必要的人力、机具及充足的耗材。</w:t>
      </w:r>
      <w:r/>
    </w:p>
    <w:p>
      <w:pPr>
        <w:ind w:firstLine="480"/>
        <w:rPr>
          <w:rFonts w:ascii="宋体" w:hAnsi="宋体"/>
          <w:sz w:val="24"/>
          <w:szCs w:val="24"/>
        </w:rPr>
      </w:pPr>
      <w:r>
        <w:rPr>
          <w:rFonts w:hint="eastAsia" w:ascii="宋体" w:hAnsi="宋体"/>
          <w:sz w:val="24"/>
          <w:szCs w:val="24"/>
        </w:rPr>
        <w:t xml:space="preserve">7.乙方工作人员在甲乙双方确认的区域内，做好环境卫生保洁服务，并协助维护甲方正常工作秩序。乙方工作人员如遇紧急事件，及时向相关领导汇报。</w:t>
      </w:r>
      <w:r/>
    </w:p>
    <w:p>
      <w:pPr>
        <w:ind w:firstLine="480"/>
        <w:rPr>
          <w:rFonts w:ascii="宋体" w:hAnsi="宋体"/>
          <w:sz w:val="24"/>
          <w:szCs w:val="24"/>
        </w:rPr>
      </w:pPr>
      <w:r>
        <w:rPr>
          <w:rFonts w:hint="eastAsia" w:ascii="宋体" w:hAnsi="宋体"/>
          <w:sz w:val="24"/>
          <w:szCs w:val="24"/>
        </w:rPr>
        <w:t xml:space="preserve">8.乙方应定期接受甲方有关服务理念、服务规范的培训。乙方应教育员工遵守甲方的各项管理制度。乙方应按期自行组织工作人员进行职场技能、紧急状况处理技能、灾害事故救护、人员安全和自身安全防护等培训。乙方有责任对员工进行法制、卫生社会公德宣传和岗前及岗中培训，并进行有效的考核检查，并做好相关记录备甲方检查。</w:t>
      </w:r>
      <w:r/>
    </w:p>
    <w:p>
      <w:pPr>
        <w:ind w:firstLine="480"/>
        <w:rPr>
          <w:rFonts w:ascii="宋体" w:hAnsi="宋体"/>
          <w:sz w:val="24"/>
          <w:szCs w:val="24"/>
        </w:rPr>
      </w:pPr>
      <w:r>
        <w:rPr>
          <w:rFonts w:hint="eastAsia" w:ascii="宋体" w:hAnsi="宋体"/>
          <w:sz w:val="24"/>
          <w:szCs w:val="24"/>
        </w:rPr>
        <w:t xml:space="preserve">9.乙方积极组织和配合甲方临时性和突发性的物业管理工作。</w:t>
      </w:r>
      <w:r/>
    </w:p>
    <w:p>
      <w:pPr>
        <w:ind w:firstLine="480"/>
        <w:rPr>
          <w:rFonts w:ascii="宋体" w:hAnsi="宋体"/>
          <w:sz w:val="24"/>
          <w:szCs w:val="24"/>
        </w:rPr>
      </w:pPr>
      <w:r>
        <w:rPr>
          <w:rFonts w:hint="eastAsia" w:ascii="宋体" w:hAnsi="宋体"/>
          <w:sz w:val="24"/>
          <w:szCs w:val="24"/>
        </w:rPr>
        <w:t xml:space="preserve">10.乙方应做好内部员工的录用、人事管理工作，并按国家有关法律法规为员工缴纳社保，产生任何劳资纠纷由乙方负责。</w:t>
      </w:r>
      <w:r/>
    </w:p>
    <w:p>
      <w:pPr>
        <w:ind w:firstLine="480"/>
        <w:rPr>
          <w:rFonts w:ascii="宋体" w:hAnsi="宋体"/>
          <w:sz w:val="24"/>
          <w:szCs w:val="24"/>
        </w:rPr>
      </w:pPr>
      <w:r>
        <w:rPr>
          <w:rFonts w:hint="eastAsia" w:ascii="宋体" w:hAnsi="宋体"/>
          <w:sz w:val="24"/>
          <w:szCs w:val="24"/>
        </w:rPr>
        <w:t xml:space="preserve">11.乙方须根据甲方的委托及实际情况，按照合同约定的服务标准对本项目实施服务，接受业主的管理、检查、验收方式、奖励与处罚规定。及时与业主沟通，接受业主的合理化建议。及时向业主通报本物业管理服务区域有关物业管理服务的重大事项，稳步提升物业管理服务质量。</w:t>
      </w:r>
      <w:r/>
    </w:p>
    <w:p>
      <w:pPr>
        <w:ind w:firstLine="480"/>
        <w:rPr>
          <w:rFonts w:ascii="宋体" w:hAnsi="宋体"/>
          <w:sz w:val="24"/>
          <w:szCs w:val="24"/>
        </w:rPr>
      </w:pPr>
      <w:r>
        <w:rPr>
          <w:rFonts w:hint="eastAsia" w:ascii="宋体" w:hAnsi="宋体"/>
          <w:sz w:val="24"/>
          <w:szCs w:val="24"/>
        </w:rPr>
        <w:t xml:space="preserve">12.乙方在承接物业时，对物业档案资料、共用部位等进行查验，并做好书面确认工作。做好物业资料建档工作。</w:t>
      </w:r>
      <w:r/>
    </w:p>
    <w:p>
      <w:pPr>
        <w:ind w:firstLine="480"/>
        <w:rPr>
          <w:rFonts w:ascii="宋体" w:hAnsi="宋体"/>
          <w:sz w:val="24"/>
          <w:szCs w:val="24"/>
        </w:rPr>
      </w:pPr>
      <w:r>
        <w:rPr>
          <w:rFonts w:hint="eastAsia" w:ascii="宋体" w:hAnsi="宋体"/>
          <w:sz w:val="24"/>
          <w:szCs w:val="24"/>
        </w:rPr>
        <w:t xml:space="preserve">13.根据有关法律法规的规定，结合甲方的需求以及实际情况，负责制订汇编《物业管理制度》，制定物业公司工作岗位的工作规范和考核办法。根据甲方的委托和《物业管理制度》对违反物业管理规章制度的责任人进行处理。制定的各项规章制度和工作规范送甲方备案，并向甲方提供依据工作规程制定的考核标准。</w:t>
      </w:r>
      <w:r/>
    </w:p>
    <w:p>
      <w:pPr>
        <w:ind w:firstLine="480"/>
        <w:rPr>
          <w:rFonts w:ascii="宋体" w:hAnsi="宋体"/>
          <w:sz w:val="24"/>
          <w:szCs w:val="24"/>
        </w:rPr>
      </w:pPr>
      <w:r>
        <w:rPr>
          <w:rFonts w:hint="eastAsia" w:ascii="宋体" w:hAnsi="宋体"/>
          <w:sz w:val="24"/>
          <w:szCs w:val="24"/>
        </w:rPr>
        <w:t xml:space="preserve">14.根据招标文件、合同等规定的内容，负责编制本管理项目的物业管理服务方案、年度工作计划、内部考核办法，经甲方批准后组织实施。</w:t>
      </w:r>
      <w:r/>
    </w:p>
    <w:p>
      <w:pPr>
        <w:ind w:firstLine="480"/>
        <w:rPr>
          <w:rFonts w:ascii="宋体" w:hAnsi="宋体"/>
          <w:sz w:val="24"/>
          <w:szCs w:val="24"/>
        </w:rPr>
      </w:pPr>
      <w:r>
        <w:rPr>
          <w:rFonts w:hint="eastAsia" w:ascii="宋体" w:hAnsi="宋体"/>
          <w:sz w:val="24"/>
          <w:szCs w:val="24"/>
        </w:rPr>
        <w:t xml:space="preserve">15.协助甲方做好物业管理区域内各项节能管理工作，按照业主的要求做好相关节能工作，对物业管理服务人员进行节能管理专业培训，加大节能管理力度。</w:t>
      </w:r>
      <w:r/>
    </w:p>
    <w:p>
      <w:pPr>
        <w:ind w:firstLine="480"/>
        <w:rPr>
          <w:rFonts w:ascii="宋体" w:hAnsi="宋体"/>
          <w:sz w:val="24"/>
          <w:szCs w:val="24"/>
        </w:rPr>
      </w:pPr>
      <w:r>
        <w:rPr>
          <w:rFonts w:hint="eastAsia" w:ascii="宋体" w:hAnsi="宋体"/>
          <w:sz w:val="24"/>
          <w:szCs w:val="24"/>
        </w:rPr>
        <w:t xml:space="preserve">16.协助甲方做好本物业管理区域的生产和事故防范工作；对从事本物业的从业人员进行秩序维护操作培训；遵守有关环境保护和职业健康管理职责要求。根据甲方要求，采取事故防范措施，制定应急预案，组织演练，避免发生安全事故。发生安全事故，物业公司在采取应急措施的同时，及时向甲方报告，保护好现场、协助做好处置工作。</w:t>
      </w:r>
      <w:r/>
    </w:p>
    <w:p>
      <w:pPr>
        <w:ind w:firstLine="480"/>
        <w:rPr>
          <w:rFonts w:ascii="宋体" w:hAnsi="宋体"/>
          <w:sz w:val="24"/>
          <w:szCs w:val="24"/>
        </w:rPr>
      </w:pPr>
      <w:r>
        <w:rPr>
          <w:rFonts w:hint="eastAsia" w:ascii="宋体" w:hAnsi="宋体"/>
          <w:sz w:val="24"/>
          <w:szCs w:val="24"/>
        </w:rPr>
        <w:t xml:space="preserve">17.未经过甲方同意，乙方对所管理的甲方公用设施不得擅自占用和改变其使用功能，不得占用、挖掘物业管理区域内道路、场地。</w:t>
      </w:r>
      <w:r/>
    </w:p>
    <w:p>
      <w:pPr>
        <w:ind w:firstLine="480"/>
        <w:rPr>
          <w:rFonts w:ascii="宋体" w:hAnsi="宋体"/>
          <w:sz w:val="24"/>
          <w:szCs w:val="24"/>
        </w:rPr>
      </w:pPr>
      <w:r>
        <w:rPr>
          <w:rFonts w:hint="eastAsia" w:ascii="宋体" w:hAnsi="宋体"/>
          <w:sz w:val="24"/>
          <w:szCs w:val="24"/>
        </w:rPr>
        <w:t xml:space="preserve">18.在员工管理制度中明确保密规定。除了是为服务本物业或履行其在本合同中的规定的义务之外，乙方在未取得甲方书面同意的情况下，不得向第三方透露业主的工作信息和资料。</w:t>
      </w:r>
      <w:r/>
    </w:p>
    <w:p>
      <w:pPr>
        <w:ind w:firstLine="480"/>
        <w:rPr>
          <w:rFonts w:ascii="宋体" w:hAnsi="宋体"/>
          <w:sz w:val="24"/>
          <w:szCs w:val="24"/>
        </w:rPr>
      </w:pPr>
      <w:r>
        <w:rPr>
          <w:rFonts w:hint="eastAsia" w:ascii="宋体" w:hAnsi="宋体"/>
          <w:sz w:val="24"/>
          <w:szCs w:val="24"/>
        </w:rPr>
        <w:t xml:space="preserve">19.乙方应执行国家有关规定依法用工，负责乙方员工的生病、事故、伤残、死亡和劳务纠纷的处理，甲方不承担任何相关责任。</w:t>
      </w:r>
      <w:r/>
    </w:p>
    <w:p>
      <w:pPr>
        <w:ind w:firstLine="480"/>
        <w:rPr>
          <w:rFonts w:ascii="宋体" w:hAnsi="宋体"/>
          <w:sz w:val="24"/>
          <w:szCs w:val="24"/>
        </w:rPr>
      </w:pPr>
      <w:r>
        <w:rPr>
          <w:rFonts w:hint="eastAsia" w:ascii="宋体" w:hAnsi="宋体"/>
          <w:sz w:val="24"/>
          <w:szCs w:val="24"/>
        </w:rPr>
        <w:t xml:space="preserve">20.正常作息时间：乙方作息时间随甲方作息时间做相应调整，并保证提前准备工作的质量效应和下班后的保洁效应。</w:t>
      </w:r>
      <w:r/>
    </w:p>
    <w:p>
      <w:pPr>
        <w:ind w:firstLine="480"/>
        <w:rPr>
          <w:rFonts w:ascii="宋体" w:hAnsi="宋体"/>
          <w:sz w:val="24"/>
          <w:szCs w:val="24"/>
        </w:rPr>
      </w:pPr>
      <w:r>
        <w:rPr>
          <w:rFonts w:hint="eastAsia" w:ascii="宋体" w:hAnsi="宋体"/>
          <w:sz w:val="24"/>
          <w:szCs w:val="24"/>
        </w:rPr>
        <w:t xml:space="preserve">21.建立物业服务档案并负责及时记载有关变更情况，在管理期满时，应及时移交物业管理权，撤出本物业。协助甲方作好物业服务的交接和善后工作，移交或配合甲方移交管理用房和物业服务的全部档案资料（包括甲方提供的资料）及帐目。全部手续完成后签署物业移交确认书。</w:t>
      </w:r>
      <w:r/>
    </w:p>
    <w:p>
      <w:pPr>
        <w:ind w:firstLine="480"/>
        <w:rPr>
          <w:rFonts w:ascii="宋体" w:hAnsi="宋体"/>
          <w:sz w:val="24"/>
          <w:szCs w:val="24"/>
        </w:rPr>
      </w:pPr>
      <w:r>
        <w:rPr>
          <w:rFonts w:hint="eastAsia" w:ascii="宋体" w:hAnsi="宋体"/>
          <w:sz w:val="24"/>
          <w:szCs w:val="24"/>
        </w:rPr>
        <w:t xml:space="preserve">22.由于乙方管理不善或重大失误，造成业主或第三方财产损失或人身伤害的，乙方应承担一切责任。</w:t>
      </w:r>
      <w:r/>
    </w:p>
    <w:p>
      <w:pPr>
        <w:ind w:firstLine="480"/>
        <w:rPr>
          <w:rFonts w:ascii="宋体" w:hAnsi="宋体"/>
          <w:sz w:val="24"/>
          <w:szCs w:val="24"/>
        </w:rPr>
      </w:pPr>
      <w:r>
        <w:rPr>
          <w:rFonts w:hint="eastAsia" w:ascii="宋体" w:hAnsi="宋体"/>
          <w:sz w:val="24"/>
          <w:szCs w:val="24"/>
        </w:rPr>
        <w:t xml:space="preserve">23.法律、法规规定由乙方承担的其他责任。</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八、 安全责任、违约责任</w:t>
      </w:r>
      <w:r/>
    </w:p>
    <w:p>
      <w:pPr>
        <w:ind w:firstLine="480"/>
        <w:rPr>
          <w:rFonts w:ascii="宋体" w:hAnsi="宋体"/>
          <w:sz w:val="24"/>
          <w:szCs w:val="24"/>
        </w:rPr>
      </w:pPr>
      <w:r>
        <w:rPr>
          <w:rFonts w:hint="eastAsia" w:ascii="宋体" w:hAnsi="宋体"/>
          <w:sz w:val="24"/>
          <w:szCs w:val="24"/>
        </w:rPr>
        <w:t xml:space="preserve">1.乙方必须重视安全、消防工作，做好乙方人员安全教育培训，提高乙方人员安全、消防意识，乙方人员在上下班途中发生意外事故由乙方承担责任，与甲无关。乙方在管理过程中必须注意安全防范事宜，若因管理不善、工作失职等原因引发的安全、消防责任事故由乙方自行承担责任，与甲无关。若乙方因前述事宜给甲方造成不良影响，导致甲方或其他第三方人员人身伤害、财产损失的，乙方承担一切法律责任和经济损失，甲方有权单方面终止合同，并要求乙方赔偿损失，包括但不限于甲方为维护权益支出的律师费、诉讼费、保全费等。</w:t>
      </w:r>
      <w:r/>
    </w:p>
    <w:p>
      <w:pPr>
        <w:ind w:firstLine="480"/>
        <w:rPr>
          <w:rFonts w:ascii="宋体" w:hAnsi="宋体"/>
          <w:sz w:val="24"/>
          <w:szCs w:val="24"/>
        </w:rPr>
      </w:pPr>
      <w:r>
        <w:rPr>
          <w:rFonts w:hint="eastAsia" w:ascii="宋体" w:hAnsi="宋体"/>
          <w:sz w:val="24"/>
          <w:szCs w:val="24"/>
        </w:rPr>
        <w:t xml:space="preserve">2.乙方违反本合同的约定，未能达到招标书内的质量标准和服务标准的，甲方有权要求乙方整改，整改后仍不能达到标准的，甲方有权单方面解除合同，乙方应承担本合同价款的15%违约金，同时赔偿甲方为维护权益支出的律师费、诉讼费、保全费等，若违约金不足以弥补甲方损失，乙方仍应继续赔偿。</w:t>
      </w:r>
      <w:r/>
    </w:p>
    <w:p>
      <w:pPr>
        <w:ind w:firstLine="480"/>
        <w:rPr>
          <w:rFonts w:ascii="宋体" w:hAnsi="宋体"/>
          <w:sz w:val="24"/>
          <w:szCs w:val="24"/>
        </w:rPr>
      </w:pPr>
      <w:r>
        <w:rPr>
          <w:rFonts w:hint="eastAsia" w:ascii="宋体" w:hAnsi="宋体"/>
          <w:sz w:val="24"/>
          <w:szCs w:val="24"/>
        </w:rPr>
        <w:t xml:space="preserve">3.甲乙任何一方无正当理由提前终止合同的，应向对方支付壹个月的服务费作为违约金；违约金不足以弥补损失的还应继续给予赔偿，同时应承担另一方为维护权益支出的律师费、诉讼费、保全费等。</w:t>
      </w:r>
      <w:r/>
    </w:p>
    <w:p>
      <w:pPr>
        <w:ind w:firstLine="480"/>
        <w:rPr>
          <w:rFonts w:ascii="宋体" w:hAnsi="宋体"/>
          <w:sz w:val="24"/>
          <w:szCs w:val="24"/>
        </w:rPr>
      </w:pPr>
      <w:r>
        <w:rPr>
          <w:rFonts w:hint="eastAsia" w:ascii="宋体" w:hAnsi="宋体"/>
          <w:sz w:val="24"/>
          <w:szCs w:val="24"/>
        </w:rPr>
        <w:t xml:space="preserve">4.乙方不能按时进场或不能完成合同或未按合同规定的质量要求提供服务，甲方有权终止合同，由此造成的相应损失甲方不予补偿，造成甲方损失时，甲方有权要求乙方赔偿，可从余款、履约保证金中直接扣除，不足部分向乙方追索。</w:t>
      </w:r>
      <w:r/>
    </w:p>
    <w:p>
      <w:pPr>
        <w:ind w:firstLine="480"/>
        <w:rPr>
          <w:rFonts w:ascii="宋体" w:hAnsi="宋体"/>
          <w:sz w:val="24"/>
          <w:szCs w:val="24"/>
        </w:rPr>
      </w:pPr>
      <w:r>
        <w:rPr>
          <w:rFonts w:hint="eastAsia" w:ascii="宋体" w:hAnsi="宋体"/>
          <w:sz w:val="24"/>
          <w:szCs w:val="24"/>
        </w:rPr>
        <w:t xml:space="preserve">5.如因乙方服务不到位，导致甲方在评优，创建及迎接上级部门举行大型检查不达标，严重影响甲方形象的，甲方有权解除合同，乙方必须按本年度物业服务费的5%向甲方缴纳违约金。</w:t>
      </w:r>
      <w:r/>
    </w:p>
    <w:p>
      <w:pPr>
        <w:ind w:firstLine="480"/>
        <w:rPr>
          <w:rFonts w:ascii="宋体" w:hAnsi="宋体"/>
          <w:sz w:val="24"/>
          <w:szCs w:val="24"/>
        </w:rPr>
      </w:pPr>
      <w:r>
        <w:rPr>
          <w:rFonts w:hint="eastAsia" w:ascii="宋体" w:hAnsi="宋体"/>
          <w:sz w:val="24"/>
          <w:szCs w:val="24"/>
        </w:rPr>
        <w:t xml:space="preserve">6.在乙方管理期间，甲方委托乙方的项目管理工作受到省、市各级相关部门的通报批评，或在国家法定部门（卫生、安全等）的专项检查或年检中，因乙方原因每有一次不合格，甲方扣减乙方人民币5000元，计入下一次付款中。由于乙方原因影响业主工作秩序、工作环境，每发生一次罚款3000元。</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九、合同转包或分包</w:t>
      </w:r>
      <w:r/>
    </w:p>
    <w:p>
      <w:pPr>
        <w:ind w:firstLine="480"/>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乙方不得将合同标的转包给他人履行。</w:t>
      </w:r>
      <w:r/>
    </w:p>
    <w:p>
      <w:pPr>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乙方不得将合同标的分包给他人履行。</w:t>
      </w:r>
      <w:r/>
    </w:p>
    <w:p>
      <w:pPr>
        <w:ind w:firstLine="480"/>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十、 不可抗力事件处理</w:t>
      </w:r>
      <w:r/>
    </w:p>
    <w:p>
      <w:pPr>
        <w:ind w:firstLine="480"/>
        <w:rPr>
          <w:rFonts w:ascii="宋体" w:hAnsi="宋体"/>
          <w:sz w:val="24"/>
          <w:szCs w:val="24"/>
        </w:rPr>
      </w:pPr>
      <w:r>
        <w:rPr>
          <w:rFonts w:hint="eastAsia" w:ascii="宋体" w:hAnsi="宋体"/>
          <w:sz w:val="24"/>
          <w:szCs w:val="24"/>
        </w:rPr>
        <w:t xml:space="preserve">1.在合同有效期内，任何一方因不可抗力事件导致不能履行合同，则合同履行期可延长，其延长期与不可抗力影响期相同。</w:t>
      </w:r>
      <w:r/>
    </w:p>
    <w:p>
      <w:pPr>
        <w:ind w:firstLine="480"/>
        <w:rPr>
          <w:rFonts w:ascii="宋体" w:hAnsi="宋体"/>
          <w:sz w:val="24"/>
        </w:rPr>
      </w:pPr>
      <w:r>
        <w:rPr>
          <w:rFonts w:hint="eastAsia" w:ascii="宋体" w:hAnsi="宋体"/>
          <w:sz w:val="24"/>
          <w:szCs w:val="24"/>
        </w:rPr>
        <w:t xml:space="preserve">2.不可抗力事件发生后，应立即通知对方，不可抗力事件延续30天以上，双方应</w:t>
      </w:r>
      <w:r>
        <w:rPr>
          <w:rFonts w:hint="eastAsia" w:ascii="宋体" w:hAnsi="宋体"/>
          <w:sz w:val="24"/>
        </w:rPr>
        <w:t xml:space="preserve">通过友好协商，确定是否继续履行合同。</w:t>
      </w:r>
      <w:r/>
    </w:p>
    <w:p>
      <w:pPr>
        <w:ind w:firstLine="482"/>
        <w:spacing w:before="120" w:after="120"/>
        <w:rPr>
          <w:rFonts w:ascii="宋体" w:hAnsi="宋体" w:cs="Courier New"/>
          <w:b/>
          <w:sz w:val="24"/>
          <w:szCs w:val="24"/>
        </w:rPr>
      </w:pPr>
      <w:r/>
      <w:bookmarkStart w:id="174" w:name="_Toc211911353"/>
      <w:r/>
      <w:bookmarkStart w:id="175" w:name="_Toc286993792"/>
      <w:r/>
      <w:bookmarkStart w:id="176" w:name="_Toc238984980"/>
      <w:r/>
      <w:bookmarkStart w:id="177" w:name="_Toc225244857"/>
      <w:r/>
      <w:bookmarkStart w:id="178" w:name="_Toc239568423"/>
      <w:r/>
      <w:bookmarkStart w:id="179" w:name="_Toc212019599"/>
      <w:r/>
      <w:bookmarkStart w:id="180" w:name="_Toc232492933"/>
      <w:r/>
      <w:bookmarkStart w:id="181" w:name="_Toc237145411"/>
      <w:r/>
      <w:bookmarkStart w:id="182" w:name="_Toc211854454"/>
      <w:r/>
      <w:bookmarkStart w:id="183" w:name="_Toc251768867"/>
      <w:r/>
      <w:bookmarkStart w:id="184" w:name="_Toc239233919"/>
      <w:r/>
      <w:bookmarkStart w:id="185" w:name="_Toc247334846"/>
      <w:r/>
      <w:bookmarkStart w:id="186" w:name="_Toc225654649"/>
      <w:r/>
      <w:bookmarkStart w:id="187" w:name="_Toc225670756"/>
      <w:r/>
      <w:bookmarkStart w:id="188" w:name="_Toc241833908"/>
      <w:r/>
      <w:bookmarkStart w:id="189" w:name="_Toc185395254"/>
      <w:r>
        <w:rPr>
          <w:rFonts w:hint="eastAsia" w:ascii="宋体" w:hAnsi="宋体" w:cs="Courier New"/>
          <w:b/>
          <w:sz w:val="24"/>
          <w:szCs w:val="24"/>
        </w:rPr>
        <w:t xml:space="preserve">十一、 解决合同纠纷的方式</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ind w:firstLine="480"/>
        <w:spacing w:line="520" w:lineRule="exact"/>
        <w:rPr>
          <w:rFonts w:ascii="宋体" w:hAnsi="宋体" w:cs="宋体"/>
          <w:sz w:val="24"/>
          <w:szCs w:val="24"/>
        </w:rPr>
      </w:pPr>
      <w:r/>
      <w:bookmarkStart w:id="190" w:name="_Toc241833909"/>
      <w:r/>
      <w:bookmarkStart w:id="191" w:name="_Toc239233920"/>
      <w:r/>
      <w:bookmarkStart w:id="192" w:name="_Toc225670757"/>
      <w:r/>
      <w:bookmarkStart w:id="193" w:name="_Toc225654650"/>
      <w:r/>
      <w:bookmarkStart w:id="194" w:name="_Toc225244858"/>
      <w:r/>
      <w:bookmarkStart w:id="195" w:name="_Toc239568424"/>
      <w:r/>
      <w:bookmarkStart w:id="196" w:name="_Toc251768868"/>
      <w:r/>
      <w:bookmarkStart w:id="197" w:name="_Toc211911354"/>
      <w:r/>
      <w:bookmarkStart w:id="198" w:name="_Toc247334847"/>
      <w:r/>
      <w:bookmarkStart w:id="199" w:name="_Toc282696231"/>
      <w:r/>
      <w:bookmarkStart w:id="200" w:name="_Toc232492934"/>
      <w:r/>
      <w:bookmarkStart w:id="201" w:name="_Toc238984981"/>
      <w:r/>
      <w:bookmarkStart w:id="202" w:name="_Toc237145412"/>
      <w:r/>
      <w:bookmarkStart w:id="203" w:name="_Toc185395255"/>
      <w:r/>
      <w:bookmarkStart w:id="204" w:name="_Toc286993793"/>
      <w:r/>
      <w:bookmarkStart w:id="205" w:name="_Toc211854455"/>
      <w:r/>
      <w:bookmarkStart w:id="206" w:name="_Toc212019600"/>
      <w:r/>
      <w:bookmarkStart w:id="207" w:name="_Toc283019219"/>
      <w:r>
        <w:rPr>
          <w:rFonts w:hint="eastAsia" w:ascii="宋体" w:hAnsi="宋体" w:cs="宋体"/>
          <w:sz w:val="24"/>
          <w:szCs w:val="24"/>
        </w:rPr>
        <w:t xml:space="preserve">合同发生纠纷时，双方应协商解决，协商不成可以采用下列</w:t>
      </w:r>
      <w:r>
        <w:rPr>
          <w:rFonts w:hint="eastAsia" w:ascii="宋体" w:hAnsi="宋体" w:cs="宋体"/>
          <w:sz w:val="24"/>
          <w:szCs w:val="24"/>
          <w:u w:val="single"/>
        </w:rPr>
        <w:t xml:space="preserve"> 2 </w:t>
      </w:r>
      <w:r>
        <w:rPr>
          <w:rFonts w:hint="eastAsia" w:ascii="宋体" w:hAnsi="宋体" w:cs="宋体"/>
          <w:sz w:val="24"/>
          <w:szCs w:val="24"/>
        </w:rPr>
        <w:t xml:space="preserve">方式解决：</w:t>
      </w:r>
      <w:r/>
    </w:p>
    <w:p>
      <w:pPr>
        <w:ind w:firstLine="480"/>
        <w:spacing w:line="520" w:lineRule="exact"/>
        <w:rPr>
          <w:rFonts w:ascii="宋体" w:hAnsi="宋体" w:cs="宋体"/>
          <w:sz w:val="24"/>
          <w:szCs w:val="24"/>
        </w:rPr>
      </w:pPr>
      <w:r>
        <w:rPr>
          <w:rFonts w:hint="eastAsia" w:ascii="宋体" w:hAnsi="宋体" w:cs="宋体"/>
          <w:sz w:val="24"/>
          <w:szCs w:val="24"/>
        </w:rPr>
        <w:t xml:space="preserve">1.提交泰州市仲裁委员会仲裁；</w:t>
      </w:r>
      <w:r/>
    </w:p>
    <w:p>
      <w:pPr>
        <w:ind w:firstLine="480"/>
        <w:spacing w:line="520" w:lineRule="exact"/>
        <w:rPr>
          <w:rFonts w:ascii="宋体" w:hAnsi="宋体" w:cs="宋体"/>
          <w:sz w:val="24"/>
          <w:szCs w:val="24"/>
        </w:rPr>
      </w:pPr>
      <w:r>
        <w:rPr>
          <w:rFonts w:hint="eastAsia" w:ascii="宋体" w:hAnsi="宋体" w:cs="宋体"/>
          <w:sz w:val="24"/>
          <w:szCs w:val="24"/>
        </w:rPr>
        <w:t xml:space="preserve">2.向靖江市人民法院诉讼。 </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十二、 合同</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cs="Courier New"/>
          <w:b/>
          <w:sz w:val="24"/>
          <w:szCs w:val="24"/>
        </w:rPr>
        <w:t xml:space="preserve">生效及其他</w:t>
      </w:r>
      <w:r/>
    </w:p>
    <w:p>
      <w:pPr>
        <w:ind w:firstLine="480"/>
        <w:spacing w:line="520" w:lineRule="exact"/>
        <w:rPr>
          <w:rFonts w:ascii="宋体" w:hAnsi="宋体" w:cs="宋体"/>
          <w:sz w:val="24"/>
          <w:szCs w:val="24"/>
        </w:rPr>
      </w:pPr>
      <w:r>
        <w:rPr>
          <w:rFonts w:hint="eastAsia" w:ascii="宋体" w:hAnsi="宋体" w:cs="宋体"/>
          <w:sz w:val="24"/>
          <w:szCs w:val="24"/>
        </w:rPr>
        <w:t xml:space="preserve">1.合同经双方法定代表人或授权委托代理人签字并加盖单位公章后生效。</w:t>
      </w:r>
      <w:r/>
    </w:p>
    <w:p>
      <w:pPr>
        <w:ind w:firstLine="480"/>
        <w:spacing w:line="520" w:lineRule="exact"/>
        <w:rPr>
          <w:rFonts w:ascii="宋体" w:hAnsi="宋体" w:cs="宋体"/>
          <w:sz w:val="24"/>
          <w:szCs w:val="24"/>
        </w:rPr>
      </w:pPr>
      <w:r>
        <w:rPr>
          <w:rFonts w:hint="eastAsia" w:ascii="宋体" w:hAnsi="宋体" w:cs="宋体"/>
          <w:sz w:val="24"/>
          <w:szCs w:val="24"/>
        </w:rPr>
        <w:t xml:space="preserve">2.本合同一式6份，自双方签章之日起起效。甲方2份，乙方2份，靖江市公共资源交易中心1份，同级财政部门备案1份，具有同等法律效力。</w:t>
      </w:r>
      <w:r/>
    </w:p>
    <w:p>
      <w:pPr>
        <w:ind w:firstLine="480"/>
        <w:spacing w:line="400" w:lineRule="exact"/>
        <w:rPr>
          <w:rFonts w:ascii="宋体" w:hAnsi="宋体"/>
          <w:sz w:val="24"/>
        </w:rPr>
      </w:pPr>
      <w:r>
        <w:rPr>
          <w:rFonts w:ascii="宋体" w:hAnsi="宋体"/>
          <w:sz w:val="24"/>
        </w:rPr>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宋体" w:cs="Courier New"/>
          <w:sz w:val="24"/>
          <w:szCs w:val="24"/>
        </w:rPr>
      </w:pPr>
      <w:r>
        <w:rPr>
          <w:rFonts w:hint="eastAsia" w:ascii="宋体" w:hAnsi="宋体" w:cs="Courier New"/>
          <w:sz w:val="24"/>
          <w:szCs w:val="24"/>
        </w:rPr>
        <w:t xml:space="preserve">联系电话：                    联系电话：        </w:t>
      </w:r>
      <w:r/>
    </w:p>
    <w:p>
      <w:pPr>
        <w:ind w:firstLine="240"/>
        <w:spacing w:before="120" w:after="120" w:line="0" w:lineRule="atLeast"/>
        <w:rPr>
          <w:rFonts w:ascii="宋体" w:hAnsi="宋体" w:cs="Courier New"/>
          <w:sz w:val="24"/>
          <w:szCs w:val="24"/>
        </w:rPr>
      </w:pPr>
      <w:r>
        <w:rPr>
          <w:rFonts w:ascii="宋体" w:hAnsi="宋体" w:cs="Courier New"/>
          <w:sz w:val="24"/>
          <w:szCs w:val="24"/>
        </w:rPr>
      </w:r>
      <w:r/>
    </w:p>
    <w:p>
      <w:pPr>
        <w:pStyle w:val="741"/>
      </w:pPr>
      <w:r/>
      <w:r/>
    </w:p>
    <w:p>
      <w:pPr>
        <w:pStyle w:val="742"/>
        <w:ind w:firstLine="210"/>
      </w:pPr>
      <w:r/>
      <w:r/>
    </w:p>
    <w:p>
      <w:pPr>
        <w:pStyle w:val="742"/>
        <w:ind w:firstLine="210"/>
      </w:pPr>
      <w:r/>
      <w:r/>
    </w:p>
    <w:p>
      <w:pPr>
        <w:pStyle w:val="742"/>
        <w:ind w:firstLine="210"/>
      </w:pPr>
      <w:r/>
      <w:r/>
    </w:p>
    <w:p>
      <w:pPr>
        <w:pStyle w:val="742"/>
        <w:ind w:firstLine="210"/>
      </w:pPr>
      <w:r/>
      <w:r/>
    </w:p>
    <w:p>
      <w:pPr>
        <w:pStyle w:val="742"/>
        <w:ind w:firstLine="210"/>
      </w:pPr>
      <w:r/>
      <w:r/>
    </w:p>
    <w:p>
      <w:pPr>
        <w:spacing w:before="120" w:after="120" w:line="0" w:lineRule="atLeast"/>
        <w:rPr>
          <w:rFonts w:ascii="宋体" w:hAnsi="Courier New" w:cs="Courier New"/>
          <w:szCs w:val="21"/>
        </w:rPr>
      </w:pPr>
      <w:r>
        <w:rPr>
          <w:rFonts w:hint="eastAsia" w:ascii="Times New Roman" w:hAnsi="Times New Roman"/>
          <w:szCs w:val="21"/>
        </w:rPr>
        <w:t xml:space="preserve">                 </w:t>
      </w:r>
      <w:r>
        <w:rPr>
          <w:rFonts w:hint="eastAsia" w:ascii="Times New Roman" w:hAnsi="Times New Roman"/>
          <w:sz w:val="24"/>
          <w:szCs w:val="24"/>
        </w:rPr>
        <w:t xml:space="preserve">                         </w:t>
      </w: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r/>
    </w:p>
    <w:p>
      <w:r/>
      <w:r/>
    </w:p>
    <w:p>
      <w:pPr>
        <w:pStyle w:val="775"/>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
    </w:p>
    <w:p>
      <w:pPr>
        <w:jc w:val="center"/>
        <w:rPr>
          <w:rFonts w:ascii="黑体" w:eastAsia="黑体"/>
          <w:bCs/>
          <w:sz w:val="44"/>
        </w:rPr>
        <w:outlineLvl w:val="0"/>
      </w:pPr>
      <w:r>
        <w:rPr>
          <w:rFonts w:hint="eastAsia" w:ascii="黑体" w:eastAsia="黑体"/>
          <w:bCs/>
          <w:sz w:val="44"/>
        </w:rPr>
        <w:t xml:space="preserve">第四章 项目需求</w:t>
      </w:r>
      <w:r/>
    </w:p>
    <w:p>
      <w:pPr>
        <w:pStyle w:val="775"/>
      </w:pPr>
      <w:r/>
      <w:r/>
    </w:p>
    <w:p>
      <w:pPr>
        <w:pStyle w:val="775"/>
      </w:pPr>
      <w:r/>
      <w:r/>
    </w:p>
    <w:p>
      <w:pPr>
        <w:pStyle w:val="958"/>
        <w:ind w:firstLine="422"/>
        <w:rPr>
          <w:rFonts w:ascii="宋体" w:cs="黑体"/>
          <w:b/>
          <w:bCs/>
          <w:sz w:val="24"/>
          <w:szCs w:val="24"/>
        </w:rPr>
      </w:pPr>
      <w:r>
        <w:rPr>
          <w:rFonts w:hint="eastAsia" w:ascii="宋体" w:cs="黑体"/>
          <w:b/>
          <w:bCs/>
          <w:sz w:val="24"/>
          <w:szCs w:val="24"/>
        </w:rPr>
        <w:t xml:space="preserve">说明：</w:t>
      </w:r>
      <w:r/>
    </w:p>
    <w:p>
      <w:pPr>
        <w:pStyle w:val="958"/>
        <w:ind w:firstLine="422"/>
        <w:rPr>
          <w:rFonts w:ascii="宋体" w:cs="黑体"/>
          <w:b/>
          <w:bCs/>
          <w:sz w:val="24"/>
          <w:szCs w:val="24"/>
        </w:rPr>
      </w:pPr>
      <w:r>
        <w:rPr>
          <w:rFonts w:hint="eastAsia" w:ascii="宋体" w:cs="黑体"/>
          <w:b/>
          <w:bCs/>
          <w:sz w:val="24"/>
          <w:szCs w:val="24"/>
        </w:rPr>
        <w:t xml:space="preserve">一.根据《政府采购需求管理办法》等有关规定，采购人确定采购需求。</w:t>
      </w:r>
      <w:r/>
    </w:p>
    <w:p>
      <w:pPr>
        <w:ind w:firstLine="241"/>
        <w:spacing w:line="400" w:lineRule="exact"/>
        <w:rPr>
          <w:rFonts w:asciiTheme="minorEastAsia" w:hAnsiTheme="minorEastAsia"/>
          <w:b/>
          <w:i/>
          <w:sz w:val="24"/>
        </w:rPr>
      </w:pPr>
      <w:r>
        <w:rPr>
          <w:rFonts w:hint="eastAsia" w:asciiTheme="minorEastAsia" w:hAnsiTheme="minorEastAsia"/>
          <w:b/>
          <w:i/>
          <w:sz w:val="24"/>
          <w:szCs w:val="24"/>
        </w:rPr>
        <w:t xml:space="preserve">1.</w:t>
      </w:r>
      <w:r>
        <w:rPr>
          <w:rFonts w:hint="eastAsia" w:asciiTheme="minorEastAsia" w:hAnsiTheme="minorEastAsia" w:eastAsiaTheme="minorEastAsia"/>
          <w:b/>
          <w:i/>
          <w:sz w:val="24"/>
          <w:szCs w:val="24"/>
        </w:rPr>
        <w:t xml:space="preserve">项目基本情况</w:t>
      </w:r>
      <w:r/>
    </w:p>
    <w:p>
      <w:pPr>
        <w:ind w:firstLine="241"/>
        <w:spacing w:line="400" w:lineRule="exact"/>
        <w:rPr>
          <w:rFonts w:asciiTheme="minorEastAsia" w:hAnsiTheme="minorEastAsia"/>
          <w:b/>
          <w:i/>
          <w:sz w:val="24"/>
        </w:rPr>
      </w:pPr>
      <w:r>
        <w:rPr>
          <w:rFonts w:hint="eastAsia" w:asciiTheme="minorEastAsia" w:hAnsiTheme="minorEastAsia" w:eastAsiaTheme="minorEastAsia"/>
          <w:b/>
          <w:i/>
          <w:sz w:val="24"/>
          <w:szCs w:val="24"/>
        </w:rPr>
        <w:t xml:space="preserve">1.1项目情况</w:t>
      </w:r>
      <w:r/>
    </w:p>
    <w:tbl>
      <w:tblPr>
        <w:tblStyle w:val="740"/>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4"/>
        <w:gridCol w:w="5614"/>
      </w:tblGrid>
      <w:tr>
        <w:trPr>
          <w:jc w:val="center"/>
        </w:trPr>
        <w:tc>
          <w:tcPr>
            <w:tcW w:w="2544" w:type="dxa"/>
            <w:textDirection w:val="lrTb"/>
            <w:noWrap w:val="false"/>
          </w:tcPr>
          <w:p>
            <w:pPr>
              <w:ind w:firstLine="480"/>
              <w:spacing w:line="400" w:lineRule="exact"/>
              <w:rPr>
                <w:rFonts w:asciiTheme="minorEastAsia" w:hAnsiTheme="minorEastAsia"/>
                <w:i/>
                <w:sz w:val="24"/>
              </w:rPr>
            </w:pPr>
            <w:r>
              <w:rPr>
                <w:rFonts w:hint="eastAsia" w:asciiTheme="minorEastAsia" w:hAnsiTheme="minorEastAsia"/>
                <w:i/>
                <w:sz w:val="24"/>
                <w:szCs w:val="24"/>
              </w:rPr>
              <w:t xml:space="preserve">项目名称</w:t>
            </w:r>
            <w:r/>
          </w:p>
        </w:tc>
        <w:tc>
          <w:tcPr>
            <w:tcW w:w="5614" w:type="dxa"/>
            <w:textDirection w:val="lrTb"/>
            <w:noWrap w:val="false"/>
          </w:tcPr>
          <w:p>
            <w:pPr>
              <w:ind w:firstLine="2160"/>
              <w:spacing w:line="400" w:lineRule="exact"/>
              <w:rPr>
                <w:rFonts w:asciiTheme="minorEastAsia" w:hAnsiTheme="minorEastAsia"/>
                <w:i/>
                <w:sz w:val="24"/>
              </w:rPr>
            </w:pPr>
            <w:r>
              <w:rPr>
                <w:rFonts w:hint="eastAsia" w:asciiTheme="minorEastAsia" w:hAnsiTheme="minorEastAsia"/>
                <w:i/>
                <w:sz w:val="24"/>
                <w:szCs w:val="24"/>
              </w:rPr>
              <w:t xml:space="preserve">项目地址</w:t>
            </w:r>
            <w:r/>
          </w:p>
        </w:tc>
      </w:tr>
      <w:tr>
        <w:trPr>
          <w:jc w:val="center"/>
          <w:trHeight w:val="1066"/>
        </w:trPr>
        <w:tc>
          <w:tcPr>
            <w:tcW w:w="2544" w:type="dxa"/>
            <w:textDirection w:val="lrTb"/>
            <w:noWrap w:val="false"/>
          </w:tcPr>
          <w:p>
            <w:pPr>
              <w:spacing w:line="400" w:lineRule="exact"/>
              <w:rPr>
                <w:rFonts w:asciiTheme="minorEastAsia" w:hAnsiTheme="minorEastAsia"/>
                <w:i/>
                <w:sz w:val="24"/>
              </w:rPr>
            </w:pPr>
            <w:r>
              <w:rPr>
                <w:rFonts w:hint="eastAsia" w:asciiTheme="minorEastAsia" w:hAnsiTheme="minorEastAsia"/>
                <w:i/>
                <w:sz w:val="24"/>
              </w:rPr>
              <w:t xml:space="preserve">行政中心物业服务（保洁、绿化养护）</w:t>
            </w:r>
            <w:r/>
          </w:p>
        </w:tc>
        <w:tc>
          <w:tcPr>
            <w:tcW w:w="5614"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szCs w:val="24"/>
              </w:rPr>
              <w:t xml:space="preserve">靖江市行政中心位于靖江市阳光大道1号。</w:t>
            </w:r>
            <w:r/>
          </w:p>
        </w:tc>
      </w:tr>
      <w:tr>
        <w:trPr>
          <w:jc w:val="center"/>
          <w:trHeight w:val="1066"/>
        </w:trPr>
        <w:tc>
          <w:tcPr>
            <w:tcW w:w="2544" w:type="dxa"/>
            <w:textDirection w:val="lrTb"/>
            <w:noWrap w:val="false"/>
          </w:tcPr>
          <w:p>
            <w:pPr>
              <w:spacing w:line="400" w:lineRule="exact"/>
              <w:rPr>
                <w:rFonts w:asciiTheme="minorEastAsia" w:hAnsiTheme="minorEastAsia"/>
                <w:i/>
                <w:sz w:val="24"/>
              </w:rPr>
            </w:pPr>
            <w:r>
              <w:rPr>
                <w:rFonts w:hint="eastAsia" w:asciiTheme="minorEastAsia" w:hAnsiTheme="minorEastAsia"/>
                <w:i/>
                <w:sz w:val="24"/>
              </w:rPr>
              <w:t xml:space="preserve">行政中心物业服务（联检大楼保洁、绿化养护）</w:t>
            </w:r>
            <w:r/>
          </w:p>
        </w:tc>
        <w:tc>
          <w:tcPr>
            <w:tcW w:w="5614" w:type="dxa"/>
            <w:vAlign w:val="center"/>
            <w:textDirection w:val="lrTb"/>
            <w:noWrap w:val="false"/>
          </w:tcPr>
          <w:p>
            <w:pPr>
              <w:jc w:val="center"/>
              <w:spacing w:line="400" w:lineRule="exact"/>
              <w:rPr>
                <w:rFonts w:asciiTheme="minorEastAsia" w:hAnsiTheme="minorEastAsia"/>
                <w:i/>
                <w:sz w:val="24"/>
                <w:szCs w:val="24"/>
              </w:rPr>
            </w:pPr>
            <w:r>
              <w:rPr>
                <w:rFonts w:hint="eastAsia" w:asciiTheme="minorEastAsia" w:hAnsiTheme="minorEastAsia"/>
                <w:i/>
                <w:sz w:val="24"/>
                <w:szCs w:val="24"/>
              </w:rPr>
              <w:t xml:space="preserve">联检大楼位于靖江市阳光大道1号口岸联检中心。</w:t>
            </w:r>
            <w:r/>
          </w:p>
        </w:tc>
      </w:tr>
    </w:tbl>
    <w:p>
      <w:pPr>
        <w:ind w:firstLine="241"/>
        <w:spacing w:line="400" w:lineRule="exact"/>
        <w:rPr>
          <w:rFonts w:asciiTheme="minorEastAsia" w:hAnsiTheme="minorEastAsia"/>
          <w:b/>
          <w:i/>
          <w:sz w:val="24"/>
        </w:rPr>
      </w:pPr>
      <w:r>
        <w:rPr>
          <w:rFonts w:hint="eastAsia" w:asciiTheme="minorEastAsia" w:hAnsiTheme="minorEastAsia" w:eastAsiaTheme="minorEastAsia"/>
          <w:b/>
          <w:i/>
          <w:sz w:val="24"/>
          <w:szCs w:val="24"/>
        </w:rPr>
        <w:t xml:space="preserve">1.2采购人无偿提供的场地、设施、设备、材料等</w:t>
      </w:r>
      <w:r/>
    </w:p>
    <w:p>
      <w:pPr>
        <w:numPr>
          <w:ilvl w:val="0"/>
          <w:numId w:val="4"/>
        </w:numPr>
        <w:ind w:left="330"/>
        <w:spacing w:line="400" w:lineRule="exact"/>
        <w:rPr>
          <w:rFonts w:asciiTheme="minorEastAsia" w:hAnsiTheme="minorEastAsia"/>
          <w:bCs/>
          <w:i/>
          <w:sz w:val="24"/>
        </w:rPr>
      </w:pPr>
      <w:r>
        <w:rPr>
          <w:rFonts w:hint="eastAsia" w:asciiTheme="minorEastAsia" w:hAnsiTheme="minorEastAsia"/>
          <w:bCs/>
          <w:i/>
          <w:sz w:val="24"/>
          <w:szCs w:val="24"/>
        </w:rPr>
        <w:t xml:space="preserve">办公场所及设施：采购人根据工作实际需要提供相应的物业管理用房交当班人员使用。</w:t>
      </w:r>
      <w:r/>
    </w:p>
    <w:p>
      <w:pPr>
        <w:numPr>
          <w:ilvl w:val="0"/>
          <w:numId w:val="4"/>
        </w:numPr>
        <w:ind w:left="330"/>
        <w:spacing w:line="400" w:lineRule="exact"/>
        <w:rPr>
          <w:rFonts w:cs="宋体" w:asciiTheme="minorEastAsia" w:hAnsiTheme="minorEastAsia"/>
          <w:bCs/>
          <w:i/>
          <w:sz w:val="24"/>
          <w:lang w:val="zh-CN"/>
        </w:rPr>
      </w:pPr>
      <w:r>
        <w:rPr>
          <w:rFonts w:hint="eastAsia" w:cs="宋体" w:asciiTheme="minorEastAsia" w:hAnsiTheme="minorEastAsia"/>
          <w:bCs/>
          <w:i/>
          <w:sz w:val="24"/>
          <w:szCs w:val="24"/>
        </w:rPr>
        <w:t xml:space="preserve">采购人</w:t>
      </w:r>
      <w:r>
        <w:rPr>
          <w:rFonts w:hint="eastAsia" w:cs="宋体" w:asciiTheme="minorEastAsia" w:hAnsiTheme="minorEastAsia"/>
          <w:bCs/>
          <w:i/>
          <w:sz w:val="24"/>
          <w:szCs w:val="24"/>
          <w:lang w:val="zh-CN"/>
        </w:rPr>
        <w:t xml:space="preserve">提供工作所需的日常用电、用水。</w:t>
      </w:r>
      <w:r/>
    </w:p>
    <w:p>
      <w:pPr>
        <w:numPr>
          <w:ilvl w:val="0"/>
          <w:numId w:val="4"/>
        </w:numPr>
        <w:ind w:left="330"/>
        <w:spacing w:line="400" w:lineRule="exact"/>
        <w:rPr>
          <w:rFonts w:cs="宋体" w:asciiTheme="minorEastAsia" w:hAnsiTheme="minorEastAsia"/>
          <w:bCs/>
          <w:i/>
          <w:sz w:val="24"/>
          <w:lang w:val="zh-CN"/>
        </w:rPr>
      </w:pPr>
      <w:r>
        <w:rPr>
          <w:rFonts w:hint="eastAsia" w:cs="宋体" w:asciiTheme="minorEastAsia" w:hAnsiTheme="minorEastAsia"/>
          <w:bCs/>
          <w:i/>
          <w:sz w:val="24"/>
          <w:szCs w:val="24"/>
          <w:lang w:val="zh-CN"/>
        </w:rPr>
        <w:t xml:space="preserve">采购人食堂开放，可提供供应商工作人员用餐，餐费自理。</w:t>
      </w:r>
      <w:r/>
    </w:p>
    <w:p>
      <w:pPr>
        <w:numPr>
          <w:ilvl w:val="0"/>
          <w:numId w:val="5"/>
        </w:numPr>
        <w:spacing w:line="400" w:lineRule="exact"/>
        <w:rPr>
          <w:rFonts w:asciiTheme="minorEastAsia" w:hAnsiTheme="minorEastAsia"/>
          <w:b/>
          <w:i/>
          <w:sz w:val="24"/>
          <w:szCs w:val="24"/>
        </w:rPr>
      </w:pPr>
      <w:r>
        <w:rPr>
          <w:rFonts w:hint="eastAsia" w:asciiTheme="minorEastAsia" w:hAnsiTheme="minorEastAsia"/>
          <w:b/>
          <w:i/>
          <w:sz w:val="24"/>
          <w:szCs w:val="24"/>
        </w:rPr>
        <w:t xml:space="preserve">物业服务范围</w:t>
      </w:r>
      <w:r/>
    </w:p>
    <w:p>
      <w:pPr>
        <w:spacing w:line="400" w:lineRule="exact"/>
        <w:rPr>
          <w:rFonts w:cs="宋体" w:asciiTheme="minorEastAsia" w:hAnsiTheme="minorEastAsia"/>
          <w:bCs/>
          <w:i/>
          <w:sz w:val="24"/>
        </w:rPr>
      </w:pPr>
      <w:r>
        <w:rPr>
          <w:rFonts w:hint="eastAsia" w:cs="宋体" w:asciiTheme="minorEastAsia" w:hAnsiTheme="minorEastAsia"/>
          <w:bCs/>
          <w:i/>
          <w:sz w:val="24"/>
          <w:szCs w:val="24"/>
        </w:rPr>
        <w:t xml:space="preserve">（1）保洁服务（建筑物）</w:t>
      </w:r>
      <w:r/>
    </w:p>
    <w:tbl>
      <w:tblPr>
        <w:tblStyle w:val="740"/>
        <w:tblpPr w:horzAnchor="page" w:tblpX="1554" w:vertAnchor="text" w:tblpY="390" w:leftFromText="180" w:topFromText="0" w:rightFromText="180" w:bottomFromText="0"/>
        <w:tblW w:w="91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1"/>
        <w:gridCol w:w="1725"/>
        <w:gridCol w:w="3512"/>
        <w:gridCol w:w="2498"/>
      </w:tblGrid>
      <w:tr>
        <w:trPr/>
        <w:tc>
          <w:tcPr>
            <w:gridSpan w:val="2"/>
            <w:tcW w:w="3176"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名称</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明细</w:t>
            </w:r>
            <w:r/>
          </w:p>
        </w:tc>
        <w:tc>
          <w:tcPr>
            <w:tcW w:w="2498"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服务内容及标准</w:t>
            </w:r>
            <w:r/>
          </w:p>
        </w:tc>
      </w:tr>
      <w:tr>
        <w:trPr/>
        <w:tc>
          <w:tcPr>
            <w:gridSpan w:val="2"/>
            <w:tcW w:w="3176"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建筑1名称</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主楼</w:t>
            </w:r>
            <w:r/>
          </w:p>
        </w:tc>
        <w:tc>
          <w:tcPr>
            <w:tcW w:w="2498" w:type="dxa"/>
            <w:textDirection w:val="lrTb"/>
            <w:noWrap w:val="false"/>
          </w:tcPr>
          <w:p>
            <w:pPr>
              <w:spacing w:line="400" w:lineRule="exact"/>
              <w:rPr>
                <w:rFonts w:asciiTheme="minorEastAsia" w:hAnsiTheme="minorEastAsia"/>
                <w:i/>
                <w:sz w:val="24"/>
              </w:rPr>
            </w:pPr>
            <w:r>
              <w:rPr>
                <w:rFonts w:asciiTheme="minorEastAsia" w:hAnsiTheme="minorEastAsia"/>
                <w:i/>
                <w:sz w:val="24"/>
              </w:rPr>
            </w:r>
            <w:r/>
          </w:p>
        </w:tc>
      </w:tr>
      <w:tr>
        <w:trPr>
          <w:trHeight w:val="656"/>
        </w:trPr>
        <w:tc>
          <w:tcPr>
            <w:tcW w:w="1451" w:type="dxa"/>
            <w:vAlign w:val="center"/>
            <w:vMerge w:val="restart"/>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总面积</w:t>
            </w:r>
            <w:r/>
          </w:p>
        </w:tc>
        <w:tc>
          <w:tcPr>
            <w:tcW w:w="1725"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建筑面积</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63821㎡</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i/>
                <w:sz w:val="24"/>
              </w:rPr>
            </w:pPr>
            <w:r>
              <w:rPr>
                <w:rFonts w:asciiTheme="minorEastAsia" w:hAnsiTheme="minorEastAsia"/>
                <w:i/>
                <w:sz w:val="24"/>
              </w:rPr>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需保洁面积</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43413</w:t>
            </w:r>
            <w:r>
              <w:rPr>
                <w:rFonts w:hint="eastAsia" w:asciiTheme="minorEastAsia" w:hAnsiTheme="minorEastAsia" w:eastAsiaTheme="minorEastAsia"/>
                <w:i/>
                <w:sz w:val="24"/>
                <w:szCs w:val="24"/>
              </w:rPr>
              <w:t xml:space="preserve">㎡</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restart"/>
            <w:textDirection w:val="lrTb"/>
            <w:noWrap w:val="false"/>
          </w:tcPr>
          <w:p>
            <w:pPr>
              <w:jc w:val="center"/>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地面</w:t>
            </w:r>
            <w:r/>
          </w:p>
        </w:tc>
        <w:tc>
          <w:tcPr>
            <w:tcW w:w="1725" w:type="dxa"/>
            <w:vAlign w:val="center"/>
            <w:vMerge w:val="restart"/>
            <w:textDirection w:val="lrTb"/>
            <w:noWrap w:val="false"/>
          </w:tcPr>
          <w:p>
            <w:pPr>
              <w:jc w:val="center"/>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地面各材质及总面积</w:t>
            </w:r>
            <w:r/>
          </w:p>
        </w:tc>
        <w:tc>
          <w:tcPr>
            <w:tcW w:w="3512" w:type="dxa"/>
            <w:textDirection w:val="lrTb"/>
            <w:noWrap w:val="false"/>
          </w:tcPr>
          <w:p>
            <w:pPr>
              <w:jc w:val="center"/>
              <w:spacing w:line="400" w:lineRule="exact"/>
              <w:rPr>
                <w:rFonts w:asciiTheme="minorEastAsia" w:hAnsiTheme="minorEastAsia" w:eastAsiaTheme="minorEastAsia"/>
                <w:i/>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18520</w:t>
            </w:r>
            <w:r>
              <w:rPr>
                <w:rFonts w:hint="eastAsia" w:asciiTheme="minorEastAsia" w:hAnsiTheme="minorEastAsia" w:eastAsiaTheme="minorEastAsia"/>
                <w:i/>
                <w:sz w:val="24"/>
                <w:szCs w:val="24"/>
              </w:rPr>
              <w:t xml:space="preserve">㎡</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大理石总面积：968</w:t>
            </w:r>
            <w:r>
              <w:rPr>
                <w:rFonts w:hint="eastAsia" w:asciiTheme="minorEastAsia" w:hAnsiTheme="minorEastAsia" w:eastAsiaTheme="minorEastAsia"/>
                <w:i/>
                <w:sz w:val="24"/>
                <w:szCs w:val="24"/>
              </w:rPr>
              <w:t xml:space="preserve">㎡</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地板总面积：3108㎡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环氧地坪地面总面积：20601</w:t>
            </w:r>
            <w:r>
              <w:rPr>
                <w:rFonts w:hint="eastAsia" w:asciiTheme="minorEastAsia" w:hAnsiTheme="minorEastAsia" w:eastAsiaTheme="minorEastAsia"/>
                <w:i/>
                <w:sz w:val="24"/>
                <w:szCs w:val="24"/>
              </w:rPr>
              <w:t xml:space="preserve">㎡</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地毯总面积：216㎡</w:t>
            </w:r>
            <w:r/>
          </w:p>
        </w:tc>
        <w:tc>
          <w:tcPr>
            <w:tcW w:w="2498" w:type="dxa"/>
            <w:vAlign w:val="center"/>
            <w:textDirection w:val="lrTb"/>
            <w:noWrap w:val="false"/>
          </w:tcPr>
          <w:p>
            <w:pPr>
              <w:jc w:val="center"/>
              <w:spacing w:line="400" w:lineRule="exact"/>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c>
          <w:tcPr>
            <w:tcW w:w="1451"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卫生间</w:t>
            </w:r>
            <w:r/>
          </w:p>
        </w:tc>
        <w:tc>
          <w:tcPr>
            <w:tcW w:w="1725"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个数及总面积</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szCs w:val="24"/>
              </w:rPr>
              <w:t xml:space="preserve">72个，面积1097.28㎡</w:t>
            </w:r>
            <w:r/>
          </w:p>
        </w:tc>
        <w:tc>
          <w:tcPr>
            <w:tcW w:w="2498" w:type="dxa"/>
            <w:textDirection w:val="lrTb"/>
            <w:noWrap w:val="false"/>
          </w:tcPr>
          <w:p>
            <w:pPr>
              <w:jc w:val="center"/>
              <w:spacing w:line="400" w:lineRule="exact"/>
              <w:rPr>
                <w:rFonts w:asciiTheme="minorEastAsia" w:hAnsiTheme="minorEastAsia"/>
                <w:i/>
                <w:sz w:val="24"/>
              </w:rPr>
            </w:pPr>
            <w:r>
              <w:rPr>
                <w:rFonts w:hint="eastAsia" w:cs="宋体" w:asciiTheme="minorEastAsia" w:hAnsiTheme="minorEastAsia" w:eastAsiaTheme="minorEastAsia"/>
                <w:i/>
                <w:iCs/>
                <w:sz w:val="24"/>
                <w:szCs w:val="24"/>
              </w:rPr>
              <w:t xml:space="preserve">见“ 3.2保洁服务”</w:t>
            </w:r>
            <w:r/>
          </w:p>
        </w:tc>
      </w:tr>
    </w:tbl>
    <w:p>
      <w:pPr>
        <w:pStyle w:val="967"/>
        <w:spacing w:line="360" w:lineRule="exact"/>
        <w:rPr>
          <w:rFonts w:ascii="宋体" w:hAnsi="宋体" w:cs="宋体"/>
          <w:b/>
          <w:bCs/>
          <w:i/>
          <w:spacing w:val="10"/>
          <w:sz w:val="22"/>
          <w:szCs w:val="22"/>
        </w:rPr>
      </w:pPr>
      <w:r>
        <w:rPr>
          <w:rFonts w:ascii="宋体" w:hAnsi="宋体" w:cs="宋体"/>
          <w:b/>
          <w:bCs/>
          <w:i/>
          <w:spacing w:val="10"/>
          <w:sz w:val="22"/>
          <w:szCs w:val="22"/>
        </w:rPr>
      </w:r>
      <w:r/>
    </w:p>
    <w:tbl>
      <w:tblPr>
        <w:tblStyle w:val="740"/>
        <w:tblW w:w="886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936"/>
        <w:gridCol w:w="1450"/>
        <w:gridCol w:w="3839"/>
        <w:gridCol w:w="2637"/>
      </w:tblGrid>
      <w:tr>
        <w:trPr>
          <w:jc w:val="center"/>
          <w:trHeight w:val="558"/>
        </w:trPr>
        <w:tc>
          <w:tcPr>
            <w:gridSpan w:val="2"/>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527"/>
        </w:trPr>
        <w:tc>
          <w:tcPr>
            <w:gridSpan w:val="2"/>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建筑2名称</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asciiTheme="minorEastAsia" w:hAnsiTheme="minorEastAsia" w:eastAsiaTheme="minorEastAsia" w:cstheme="minorEastAsia"/>
                <w:sz w:val="24"/>
              </w:rPr>
              <w:t xml:space="preserve">档案馆</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6999㎡</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2299.11</w:t>
            </w: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504"/>
        </w:trPr>
        <w:tc>
          <w:tcPr>
            <w:tcBorders>
              <w:top w:val="single" w:color="000000" w:sz="4" w:space="0"/>
              <w:left w:val="single" w:color="000000" w:sz="4" w:space="0"/>
              <w:right w:val="single" w:color="000000" w:sz="4" w:space="0"/>
            </w:tcBorders>
            <w:tcW w:w="93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450" w:type="dxa"/>
            <w:vAlign w:val="center"/>
            <w:textDirection w:val="lrTb"/>
            <w:noWrap w:val="false"/>
          </w:tcPr>
          <w:p>
            <w:pPr>
              <w:jc w:val="center"/>
              <w:spacing w:line="400" w:lineRule="exact"/>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w:t>
            </w:r>
            <w:r>
              <w:rPr>
                <w:rFonts w:hint="eastAsia" w:asciiTheme="minorEastAsia" w:hAnsiTheme="minorEastAsia" w:eastAsiaTheme="minorEastAsia"/>
                <w:i/>
                <w:iCs/>
                <w:sz w:val="24"/>
                <w:szCs w:val="24"/>
              </w:rPr>
              <w:t xml:space="preserve">材质</w:t>
            </w:r>
            <w:r>
              <w:rPr>
                <w:rFonts w:hint="eastAsia" w:cs="宋体" w:asciiTheme="minorEastAsia" w:hAnsiTheme="minorEastAsia" w:eastAsiaTheme="minorEastAsia"/>
                <w:i/>
                <w:iCs/>
                <w:sz w:val="24"/>
                <w:szCs w:val="24"/>
              </w:rPr>
              <w:t xml:space="preserve">及总面积</w:t>
            </w:r>
            <w:r/>
          </w:p>
        </w:tc>
        <w:tc>
          <w:tcPr>
            <w:tcBorders>
              <w:top w:val="single" w:color="000000" w:sz="4" w:space="0"/>
              <w:left w:val="single" w:color="000000" w:sz="4" w:space="0"/>
              <w:bottom w:val="single" w:color="auto"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i/>
                <w:iCs/>
                <w:sz w:val="24"/>
              </w:rPr>
              <w:t xml:space="preserve">2299.11</w:t>
            </w:r>
            <w:r>
              <w:rPr>
                <w:rFonts w:hint="eastAsia" w:cs="Arial" w:asciiTheme="minorEastAsia" w:hAnsiTheme="minorEastAsia" w:eastAsiaTheme="minorEastAsia"/>
                <w:i/>
                <w:iCs/>
                <w:sz w:val="24"/>
                <w:szCs w:val="24"/>
              </w:rPr>
              <w:t xml:space="preserve">   ㎡</w:t>
            </w:r>
            <w:r/>
          </w:p>
        </w:tc>
        <w:tc>
          <w:tcPr>
            <w:tcBorders>
              <w:top w:val="single" w:color="000000" w:sz="4" w:space="0"/>
              <w:left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85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卫生间：6个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面积：75.11㎡</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Style w:val="740"/>
        <w:tblW w:w="8925"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063"/>
        <w:gridCol w:w="1500"/>
        <w:gridCol w:w="3719"/>
        <w:gridCol w:w="2643"/>
      </w:tblGrid>
      <w:tr>
        <w:trPr>
          <w:jc w:val="center"/>
          <w:trHeight w:val="558"/>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617"/>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建筑3名称</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b/>
                <w:bCs/>
                <w:i/>
                <w:iCs/>
                <w:sz w:val="24"/>
              </w:rPr>
            </w:pPr>
            <w:r>
              <w:rPr>
                <w:rFonts w:hint="eastAsia" w:cs="宋体" w:asciiTheme="minorEastAsia" w:hAnsiTheme="minorEastAsia" w:eastAsiaTheme="minorEastAsia"/>
                <w:i/>
                <w:iCs/>
                <w:sz w:val="24"/>
                <w:szCs w:val="24"/>
              </w:rPr>
              <w:t xml:space="preserve">会议中心</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36"/>
        </w:trPr>
        <w:tc>
          <w:tcPr>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9888㎡</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3865.7㎡</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509"/>
        </w:trPr>
        <w:tc>
          <w:tcPr>
            <w:tcBorders>
              <w:top w:val="single" w:color="000000" w:sz="4" w:space="0"/>
              <w:left w:val="single" w:color="000000" w:sz="4" w:space="0"/>
              <w:right w:val="single" w:color="000000" w:sz="4" w:space="0"/>
            </w:tcBorders>
            <w:tcW w:w="106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1563㎡</w:t>
            </w:r>
            <w:r/>
          </w:p>
        </w:tc>
        <w:tc>
          <w:tcPr>
            <w:tcBorders>
              <w:top w:val="single" w:color="000000" w:sz="4" w:space="0"/>
              <w:left w:val="single" w:color="000000" w:sz="4" w:space="0"/>
              <w:right w:val="single" w:color="000000" w:sz="4" w:space="0"/>
            </w:tcBorders>
            <w:tcW w:w="2643"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r>
      <w:tr>
        <w:trPr>
          <w:jc w:val="center"/>
          <w:trHeight w:val="543"/>
        </w:trPr>
        <w:tc>
          <w:tcPr>
            <w:tcBorders>
              <w:left w:val="single" w:color="000000" w:sz="4" w:space="0"/>
              <w:bottom w:val="single" w:color="000000" w:sz="4" w:space="0"/>
              <w:right w:val="single" w:color="000000" w:sz="4" w:space="0"/>
            </w:tcBorders>
            <w:tcW w:w="106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大理石</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2302.7㎡</w:t>
            </w:r>
            <w:r/>
          </w:p>
        </w:tc>
        <w:tc>
          <w:tcPr>
            <w:tcBorders>
              <w:left w:val="single" w:color="000000" w:sz="4" w:space="0"/>
              <w:bottom w:val="single" w:color="000000" w:sz="4" w:space="0"/>
              <w:right w:val="single" w:color="000000" w:sz="4" w:space="0"/>
            </w:tcBorders>
            <w:tcW w:w="264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1049"/>
        </w:trPr>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卫生间：12个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面积：269.2㎡</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Style w:val="740"/>
        <w:tblW w:w="9033"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158"/>
        <w:gridCol w:w="1500"/>
        <w:gridCol w:w="3738"/>
        <w:gridCol w:w="2637"/>
      </w:tblGrid>
      <w:tr>
        <w:trPr>
          <w:jc w:val="center"/>
          <w:trHeight w:val="487"/>
        </w:trPr>
        <w:tc>
          <w:tcPr>
            <w:gridSpan w:val="2"/>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500"/>
        </w:trPr>
        <w:tc>
          <w:tcPr>
            <w:gridSpan w:val="2"/>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建筑4名称</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党校</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1387㎡</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372㎡</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407"/>
        </w:trPr>
        <w:tc>
          <w:tcPr>
            <w:tcBorders>
              <w:top w:val="single" w:color="000000" w:sz="4" w:space="0"/>
              <w:left w:val="single" w:color="000000" w:sz="4" w:space="0"/>
              <w:right w:val="single" w:color="000000" w:sz="4" w:space="0"/>
            </w:tcBorders>
            <w:tcW w:w="115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372㎡</w:t>
            </w:r>
            <w:r/>
          </w:p>
        </w:tc>
        <w:tc>
          <w:tcPr>
            <w:tcBorders>
              <w:top w:val="single" w:color="000000" w:sz="4" w:space="0"/>
              <w:left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卫生间：2个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38.5㎡</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rPr>
          <w:i/>
        </w:rPr>
      </w:pPr>
      <w:r>
        <w:rPr>
          <w:i/>
        </w:rPr>
      </w:r>
      <w:r/>
    </w:p>
    <w:tbl>
      <w:tblPr>
        <w:tblStyle w:val="740"/>
        <w:tblpPr w:horzAnchor="page" w:tblpX="1389" w:vertAnchor="text" w:tblpY="213" w:leftFromText="180" w:topFromText="0" w:rightFromText="180" w:bottomFromText="0"/>
        <w:tblW w:w="9129"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254"/>
        <w:gridCol w:w="1525"/>
        <w:gridCol w:w="3730"/>
        <w:gridCol w:w="2620"/>
      </w:tblGrid>
      <w:tr>
        <w:trPr>
          <w:trHeight w:val="517"/>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91"/>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建筑5名称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宿舍楼</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61"/>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786㎡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83"/>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786</w:t>
            </w:r>
            <w:r>
              <w:rPr>
                <w:rFonts w:hint="eastAsia" w:cs="宋体" w:asciiTheme="minorEastAsia" w:hAnsiTheme="minorEastAsia" w:eastAsiaTheme="minorEastAsia"/>
                <w:i/>
                <w:i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地砖</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786㎡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pStyle w:val="775"/>
        <w:rPr>
          <w:i/>
        </w:rPr>
      </w:pPr>
      <w:r>
        <w:rPr>
          <w:i/>
        </w:rPr>
      </w:r>
      <w:r/>
    </w:p>
    <w:tbl>
      <w:tblPr>
        <w:tblStyle w:val="740"/>
        <w:tblpPr w:horzAnchor="page" w:tblpX="1362" w:vertAnchor="text" w:tblpY="96" w:leftFromText="180" w:topFromText="0" w:rightFromText="180" w:bottomFromText="0"/>
        <w:tblW w:w="9129"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254"/>
        <w:gridCol w:w="1525"/>
        <w:gridCol w:w="3730"/>
        <w:gridCol w:w="2620"/>
      </w:tblGrid>
      <w:tr>
        <w:trPr>
          <w:trHeight w:val="517"/>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91"/>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建筑6名称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商务A楼</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61"/>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20396㎡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83"/>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8940㎡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地砖</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5358㎡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3582㎡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513"/>
        </w:trPr>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auto"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卫生间：21个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374.58㎡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pStyle w:val="775"/>
        <w:rPr>
          <w:i/>
        </w:rPr>
      </w:pPr>
      <w:r>
        <w:rPr>
          <w:i/>
        </w:rPr>
      </w:r>
      <w:r/>
    </w:p>
    <w:tbl>
      <w:tblPr>
        <w:tblStyle w:val="740"/>
        <w:tblpPr w:horzAnchor="page" w:tblpX="1336" w:vertAnchor="text" w:tblpY="31" w:leftFromText="180" w:topFromText="0" w:rightFromText="180" w:bottomFromText="0"/>
        <w:tblW w:w="9129"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254"/>
        <w:gridCol w:w="1525"/>
        <w:gridCol w:w="3730"/>
        <w:gridCol w:w="2620"/>
      </w:tblGrid>
      <w:tr>
        <w:trPr>
          <w:trHeight w:val="517"/>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91"/>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建筑7名称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商务B楼</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61"/>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19134㎡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83"/>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7437㎡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地砖</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4725㎡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2712㎡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513"/>
        </w:trPr>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auto"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卫生间：18个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251.61㎡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pStyle w:val="775"/>
        <w:rPr>
          <w:i/>
        </w:rPr>
      </w:pPr>
      <w:r>
        <w:rPr>
          <w:i/>
        </w:rPr>
      </w:r>
      <w:r/>
    </w:p>
    <w:p>
      <w:pPr>
        <w:rPr>
          <w:i/>
        </w:rPr>
      </w:pPr>
      <w:r>
        <w:rPr>
          <w:i/>
        </w:rPr>
      </w:r>
      <w:r/>
    </w:p>
    <w:tbl>
      <w:tblPr>
        <w:tblStyle w:val="740"/>
        <w:tblpPr w:horzAnchor="page" w:tblpX="1336" w:vertAnchor="text" w:tblpY="38" w:leftFromText="180" w:topFromText="0" w:rightFromText="180" w:bottomFromText="0"/>
        <w:tblW w:w="9279"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347"/>
        <w:gridCol w:w="1500"/>
        <w:gridCol w:w="3775"/>
        <w:gridCol w:w="2657"/>
      </w:tblGrid>
      <w:tr>
        <w:trPr>
          <w:trHeight w:val="503"/>
        </w:trPr>
        <w:tc>
          <w:tcPr>
            <w:gridSpan w:val="2"/>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89"/>
        </w:trPr>
        <w:tc>
          <w:tcPr>
            <w:gridSpan w:val="2"/>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建筑8名称</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口岸联检中心</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529"/>
        </w:trPr>
        <w:tc>
          <w:tcPr>
            <w:tcBorders>
              <w:top w:val="single" w:color="000000" w:sz="4" w:space="0"/>
              <w:left w:val="single" w:color="000000" w:sz="4" w:space="0"/>
              <w:bottom w:val="single" w:color="000000" w:sz="4" w:space="0"/>
              <w:right w:val="single" w:color="000000" w:sz="4" w:space="0"/>
            </w:tcBorders>
            <w:tcW w:w="134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5967㎡</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68"/>
        </w:trPr>
        <w:tc>
          <w:tcPr>
            <w:tcBorders>
              <w:top w:val="single" w:color="000000" w:sz="4" w:space="0"/>
              <w:left w:val="single" w:color="000000" w:sz="4" w:space="0"/>
              <w:bottom w:val="single" w:color="000000" w:sz="4" w:space="0"/>
              <w:right w:val="single" w:color="000000" w:sz="4" w:space="0"/>
            </w:tcBorders>
            <w:tcW w:w="134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3339.42㎡</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515"/>
        </w:trPr>
        <w:tc>
          <w:tcPr>
            <w:tcBorders>
              <w:top w:val="single" w:color="000000" w:sz="4" w:space="0"/>
              <w:left w:val="single" w:color="000000" w:sz="4" w:space="0"/>
              <w:right w:val="single" w:color="000000" w:sz="4" w:space="0"/>
            </w:tcBorders>
            <w:tcW w:w="134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2028.72㎡</w:t>
            </w:r>
            <w:r/>
          </w:p>
        </w:tc>
        <w:tc>
          <w:tcPr>
            <w:tcBorders>
              <w:top w:val="single" w:color="000000" w:sz="4" w:space="0"/>
              <w:left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515"/>
        </w:trPr>
        <w:tc>
          <w:tcPr>
            <w:tcBorders>
              <w:left w:val="single" w:color="000000" w:sz="4" w:space="0"/>
              <w:right w:val="single" w:color="000000" w:sz="4" w:space="0"/>
            </w:tcBorders>
            <w:tcW w:w="1347"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left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775"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845.7㎡</w:t>
            </w:r>
            <w:r/>
          </w:p>
        </w:tc>
        <w:tc>
          <w:tcPr>
            <w:tcBorders>
              <w:top w:val="single" w:color="000000" w:sz="4" w:space="0"/>
              <w:left w:val="single" w:color="000000" w:sz="4" w:space="0"/>
              <w:right w:val="single" w:color="000000" w:sz="4" w:space="0"/>
            </w:tcBorders>
            <w:tcW w:w="2657"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804"/>
        </w:trPr>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卫生间12个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：259.07㎡</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Style w:val="740"/>
        <w:tblpPr w:horzAnchor="page" w:tblpX="1336" w:vertAnchor="text" w:tblpY="335" w:leftFromText="180" w:topFromText="0" w:rightFromText="180" w:bottomFromText="0"/>
        <w:tblW w:w="9238"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288"/>
        <w:gridCol w:w="1525"/>
        <w:gridCol w:w="3812"/>
        <w:gridCol w:w="2613"/>
      </w:tblGrid>
      <w:tr>
        <w:trPr>
          <w:trHeight w:val="571"/>
        </w:trPr>
        <w:tc>
          <w:tcPr>
            <w:gridSpan w:val="2"/>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建筑9名称</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海事</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68"/>
        </w:trPr>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5304㎡</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36"/>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3325.24㎡</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549"/>
        </w:trPr>
        <w:tc>
          <w:tcPr>
            <w:tcBorders>
              <w:top w:val="single" w:color="000000" w:sz="4" w:space="0"/>
              <w:left w:val="single" w:color="000000" w:sz="4" w:space="0"/>
              <w:right w:val="single" w:color="000000" w:sz="4" w:space="0"/>
            </w:tcBorders>
            <w:tcW w:w="128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25"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1943.2㎡</w:t>
            </w:r>
            <w:r/>
          </w:p>
        </w:tc>
        <w:tc>
          <w:tcPr>
            <w:tcBorders>
              <w:top w:val="single" w:color="000000" w:sz="4" w:space="0"/>
              <w:left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549"/>
        </w:trPr>
        <w:tc>
          <w:tcPr>
            <w:tcBorders>
              <w:left w:val="single" w:color="000000" w:sz="4" w:space="0"/>
              <w:right w:val="single" w:color="000000" w:sz="4" w:space="0"/>
            </w:tcBorders>
            <w:tcW w:w="1288"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left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812"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834.2㎡</w:t>
            </w:r>
            <w:r/>
          </w:p>
        </w:tc>
        <w:tc>
          <w:tcPr>
            <w:tcBorders>
              <w:top w:val="single" w:color="000000" w:sz="4" w:space="0"/>
              <w:left w:val="single" w:color="000000" w:sz="4" w:space="0"/>
              <w:right w:val="single" w:color="000000" w:sz="4" w:space="0"/>
            </w:tcBorders>
            <w:tcW w:w="2613"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w:t>
            </w:r>
            <w:r>
              <w:rPr>
                <w:rFonts w:hint="eastAsia" w:cs="Arial" w:asciiTheme="minorEastAsia" w:hAnsiTheme="minorEastAsia"/>
                <w:i/>
                <w:iCs/>
                <w:sz w:val="24"/>
                <w:szCs w:val="24"/>
              </w:rPr>
              <w:t xml:space="preserve">6</w:t>
            </w:r>
            <w:r>
              <w:rPr>
                <w:rFonts w:hint="eastAsia" w:cs="Arial" w:asciiTheme="minorEastAsia" w:hAnsiTheme="minorEastAsia" w:eastAsiaTheme="minorEastAsia"/>
                <w:i/>
                <w:iCs/>
                <w:sz w:val="24"/>
                <w:szCs w:val="24"/>
              </w:rPr>
              <w:t xml:space="preserve">个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300.7㎡</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Style w:val="740"/>
        <w:tblpPr w:horzAnchor="page" w:tblpX="1336" w:vertAnchor="text" w:tblpY="311" w:leftFromText="180" w:topFromText="0" w:rightFromText="180" w:bottomFromText="0"/>
        <w:tblW w:w="9218"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278"/>
        <w:gridCol w:w="1513"/>
        <w:gridCol w:w="3850"/>
        <w:gridCol w:w="2577"/>
      </w:tblGrid>
      <w:tr>
        <w:trPr>
          <w:trHeight w:val="411"/>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trHeight w:val="382"/>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建筑10名称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海关主楼</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13"/>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5304</w:t>
            </w:r>
            <w:r>
              <w:rPr>
                <w:rFonts w:hint="eastAsia" w:cs="Arial" w:asciiTheme="minorEastAsia" w:hAnsiTheme="minorEastAsia" w:eastAsiaTheme="minorEastAsia"/>
                <w:i/>
                <w:iCs/>
                <w:sz w:val="24"/>
                <w:szCs w:val="24"/>
              </w:rPr>
              <w:t xml:space="preserve">㎡</w:t>
            </w:r>
            <w:r/>
          </w:p>
        </w:tc>
        <w:tc>
          <w:tcPr>
            <w:tcBorders>
              <w:top w:val="single" w:color="000000" w:sz="4" w:space="0"/>
              <w:left w:val="single" w:color="000000" w:sz="4" w:space="0"/>
              <w:right w:val="single" w:color="000000" w:sz="4" w:space="0"/>
            </w:tcBorders>
            <w:tcW w:w="2577"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382"/>
        </w:trPr>
        <w:tc>
          <w:tcPr>
            <w:tcBorders>
              <w:left w:val="single" w:color="000000" w:sz="4" w:space="0"/>
              <w:bottom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3342.70㎡</w:t>
            </w:r>
            <w:r/>
          </w:p>
        </w:tc>
        <w:tc>
          <w:tcPr>
            <w:tcBorders>
              <w:left w:val="single" w:color="000000" w:sz="4" w:space="0"/>
              <w:right w:val="single" w:color="000000" w:sz="4" w:space="0"/>
            </w:tcBorders>
            <w:tcW w:w="257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382"/>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1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1943.2㎡</w:t>
            </w:r>
            <w:r/>
          </w:p>
        </w:tc>
        <w:tc>
          <w:tcPr>
            <w:tcBorders>
              <w:top w:val="single" w:color="000000" w:sz="4" w:space="0"/>
              <w:left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382"/>
        </w:trPr>
        <w:tc>
          <w:tcPr>
            <w:tcBorders>
              <w:left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left w:val="single" w:color="000000" w:sz="4" w:space="0"/>
              <w:right w:val="single" w:color="000000" w:sz="4" w:space="0"/>
            </w:tcBorders>
            <w:tcW w:w="1513"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851.66㎡</w:t>
            </w:r>
            <w:r/>
          </w:p>
        </w:tc>
        <w:tc>
          <w:tcPr>
            <w:tcBorders>
              <w:top w:val="single" w:color="000000" w:sz="4" w:space="0"/>
              <w:left w:val="single" w:color="000000" w:sz="4" w:space="0"/>
              <w:right w:val="single" w:color="000000" w:sz="4" w:space="0"/>
            </w:tcBorders>
            <w:tcW w:w="2577"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765"/>
        </w:trPr>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卫生间：16个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300.7㎡</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asciiTheme="minorEastAsia" w:hAnsiTheme="minorEastAsia"/>
          <w:b/>
          <w:i/>
          <w:iCs/>
          <w:sz w:val="24"/>
        </w:rPr>
      </w:r>
      <w:r/>
    </w:p>
    <w:tbl>
      <w:tblPr>
        <w:tblStyle w:val="740"/>
        <w:tblW w:w="9220"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292"/>
        <w:gridCol w:w="1500"/>
        <w:gridCol w:w="3862"/>
        <w:gridCol w:w="2566"/>
      </w:tblGrid>
      <w:tr>
        <w:trPr>
          <w:jc w:val="center"/>
          <w:trHeight w:val="55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61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建筑11名称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海关营房</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20"/>
        </w:trPr>
        <w:tc>
          <w:tcPr>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2482㎡</w:t>
            </w:r>
            <w:r/>
          </w:p>
        </w:tc>
        <w:tc>
          <w:tcPr>
            <w:tcBorders>
              <w:top w:val="single" w:color="000000" w:sz="4" w:space="0"/>
              <w:left w:val="single" w:color="000000" w:sz="4" w:space="0"/>
              <w:right w:val="single" w:color="000000" w:sz="4" w:space="0"/>
            </w:tcBorders>
            <w:tcW w:w="2566"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jc w:val="center"/>
          <w:trHeight w:val="567"/>
        </w:trPr>
        <w:tc>
          <w:tcPr>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818.04</w:t>
            </w:r>
            <w:r>
              <w:rPr>
                <w:rFonts w:hint="eastAsia" w:cs="Arial" w:asciiTheme="minorEastAsia" w:hAnsiTheme="minorEastAsia" w:eastAsiaTheme="minorEastAsia"/>
                <w:i/>
                <w:iCs/>
                <w:sz w:val="24"/>
                <w:szCs w:val="24"/>
              </w:rPr>
              <w:t xml:space="preserve">㎡</w:t>
            </w:r>
            <w:r/>
          </w:p>
        </w:tc>
        <w:tc>
          <w:tcPr>
            <w:tcBorders>
              <w:left w:val="single" w:color="000000" w:sz="4" w:space="0"/>
              <w:bottom w:val="single" w:color="000000" w:sz="4" w:space="0"/>
              <w:right w:val="single" w:color="000000" w:sz="4" w:space="0"/>
            </w:tcBorders>
            <w:tcW w:w="256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399"/>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674.04㎡</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399"/>
        </w:trPr>
        <w:tc>
          <w:tcPr>
            <w:tcBorders>
              <w:top w:val="single" w:color="000000" w:sz="4" w:space="0"/>
              <w:left w:val="single" w:color="000000" w:sz="4" w:space="0"/>
              <w:bottom w:val="single" w:color="auto" w:sz="4" w:space="0"/>
              <w:right w:val="single" w:color="000000" w:sz="4" w:space="0"/>
            </w:tcBorders>
            <w:tcW w:w="1292"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卫生间：4个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57.48㎡</w:t>
            </w:r>
            <w:r/>
          </w:p>
        </w:tc>
        <w:tc>
          <w:tcPr>
            <w:tcBorders>
              <w:top w:val="single" w:color="000000" w:sz="4" w:space="0"/>
              <w:left w:val="single" w:color="000000" w:sz="4" w:space="0"/>
              <w:bottom w:val="single" w:color="auto" w:sz="4" w:space="0"/>
              <w:right w:val="single" w:color="000000" w:sz="4" w:space="0"/>
            </w:tcBorders>
            <w:tcW w:w="2566"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bl>
    <w:tbl>
      <w:tblPr>
        <w:tblStyle w:val="740"/>
        <w:tblpPr w:horzAnchor="page" w:tblpX="1349" w:vertAnchor="text" w:tblpY="368" w:leftFromText="180" w:topFromText="0" w:rightFromText="180" w:bottomFromText="0"/>
        <w:tblW w:w="9218"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278"/>
        <w:gridCol w:w="1513"/>
        <w:gridCol w:w="3850"/>
        <w:gridCol w:w="2577"/>
      </w:tblGrid>
      <w:tr>
        <w:trPr>
          <w:trHeight w:val="411"/>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trHeight w:val="382"/>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建筑12名称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边防主楼</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13"/>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5368</w:t>
            </w:r>
            <w:r>
              <w:rPr>
                <w:rFonts w:hint="eastAsia" w:cs="Arial" w:asciiTheme="minorEastAsia" w:hAnsiTheme="minorEastAsia" w:eastAsiaTheme="minorEastAsia"/>
                <w:i/>
                <w:iCs/>
                <w:sz w:val="24"/>
                <w:szCs w:val="24"/>
              </w:rPr>
              <w:t xml:space="preserve">㎡</w:t>
            </w:r>
            <w:r/>
          </w:p>
        </w:tc>
        <w:tc>
          <w:tcPr>
            <w:tcBorders>
              <w:top w:val="single" w:color="000000" w:sz="4" w:space="0"/>
              <w:left w:val="single" w:color="000000" w:sz="4" w:space="0"/>
              <w:right w:val="single" w:color="000000" w:sz="4" w:space="0"/>
            </w:tcBorders>
            <w:tcW w:w="2577"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382"/>
        </w:trPr>
        <w:tc>
          <w:tcPr>
            <w:tcBorders>
              <w:left w:val="single" w:color="000000" w:sz="4" w:space="0"/>
              <w:bottom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3380.07㎡</w:t>
            </w:r>
            <w:r/>
          </w:p>
        </w:tc>
        <w:tc>
          <w:tcPr>
            <w:tcBorders>
              <w:left w:val="single" w:color="000000" w:sz="4" w:space="0"/>
              <w:right w:val="single" w:color="000000" w:sz="4" w:space="0"/>
            </w:tcBorders>
            <w:tcW w:w="257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382"/>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1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1980.57㎡</w:t>
            </w:r>
            <w:r/>
          </w:p>
        </w:tc>
        <w:tc>
          <w:tcPr>
            <w:tcBorders>
              <w:top w:val="single" w:color="000000" w:sz="4" w:space="0"/>
              <w:left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382"/>
        </w:trPr>
        <w:tc>
          <w:tcPr>
            <w:tcBorders>
              <w:left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left w:val="single" w:color="000000" w:sz="4" w:space="0"/>
              <w:right w:val="single" w:color="000000" w:sz="4" w:space="0"/>
            </w:tcBorders>
            <w:tcW w:w="1513"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851.66㎡</w:t>
            </w:r>
            <w:r/>
          </w:p>
        </w:tc>
        <w:tc>
          <w:tcPr>
            <w:tcBorders>
              <w:top w:val="single" w:color="000000" w:sz="4" w:space="0"/>
              <w:left w:val="single" w:color="000000" w:sz="4" w:space="0"/>
              <w:right w:val="single" w:color="000000" w:sz="4" w:space="0"/>
            </w:tcBorders>
            <w:tcW w:w="2577"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765"/>
        </w:trPr>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卫生间：16个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337.47㎡</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Style w:val="740"/>
        <w:tblpPr w:horzAnchor="page" w:tblpX="1336" w:vertAnchor="text" w:tblpY="149" w:leftFromText="180" w:topFromText="0" w:rightFromText="180" w:bottomFromText="0"/>
        <w:tblW w:w="9220"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292"/>
        <w:gridCol w:w="1500"/>
        <w:gridCol w:w="3862"/>
        <w:gridCol w:w="2566"/>
      </w:tblGrid>
      <w:tr>
        <w:trPr>
          <w:trHeight w:val="55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trHeight w:val="61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建筑13名称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边防营房</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520"/>
        </w:trPr>
        <w:tc>
          <w:tcPr>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2496㎡</w:t>
            </w:r>
            <w:r/>
          </w:p>
        </w:tc>
        <w:tc>
          <w:tcPr>
            <w:tcBorders>
              <w:top w:val="single" w:color="000000" w:sz="4" w:space="0"/>
              <w:left w:val="single" w:color="000000" w:sz="4" w:space="0"/>
              <w:right w:val="single" w:color="000000" w:sz="4" w:space="0"/>
            </w:tcBorders>
            <w:tcW w:w="2566"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567"/>
        </w:trPr>
        <w:tc>
          <w:tcPr>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822.58</w:t>
            </w:r>
            <w:r>
              <w:rPr>
                <w:rFonts w:hint="eastAsia" w:cs="Arial" w:asciiTheme="minorEastAsia" w:hAnsiTheme="minorEastAsia" w:eastAsiaTheme="minorEastAsia"/>
                <w:i/>
                <w:iCs/>
                <w:sz w:val="24"/>
                <w:szCs w:val="24"/>
              </w:rPr>
              <w:t xml:space="preserve">㎡</w:t>
            </w:r>
            <w:r/>
          </w:p>
        </w:tc>
        <w:tc>
          <w:tcPr>
            <w:tcBorders>
              <w:left w:val="single" w:color="000000" w:sz="4" w:space="0"/>
              <w:bottom w:val="single" w:color="000000" w:sz="4" w:space="0"/>
              <w:right w:val="single" w:color="000000" w:sz="4" w:space="0"/>
            </w:tcBorders>
            <w:tcW w:w="256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399"/>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678.58㎡</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399"/>
        </w:trPr>
        <w:tc>
          <w:tcPr>
            <w:tcBorders>
              <w:top w:val="single" w:color="000000" w:sz="4" w:space="0"/>
              <w:left w:val="single" w:color="000000" w:sz="4" w:space="0"/>
              <w:bottom w:val="single" w:color="auto" w:sz="4" w:space="0"/>
              <w:right w:val="single" w:color="000000" w:sz="4" w:space="0"/>
            </w:tcBorders>
            <w:tcW w:w="1292"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卫生间：4个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59.02㎡</w:t>
            </w:r>
            <w:r/>
          </w:p>
        </w:tc>
        <w:tc>
          <w:tcPr>
            <w:tcBorders>
              <w:top w:val="single" w:color="000000" w:sz="4" w:space="0"/>
              <w:left w:val="single" w:color="000000" w:sz="4" w:space="0"/>
              <w:bottom w:val="single" w:color="auto" w:sz="4" w:space="0"/>
              <w:right w:val="single" w:color="000000" w:sz="4" w:space="0"/>
            </w:tcBorders>
            <w:tcW w:w="2566"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asciiTheme="minorEastAsia" w:hAnsiTheme="minorEastAsia"/>
          <w:b/>
          <w:i/>
          <w:iCs/>
          <w:sz w:val="24"/>
        </w:rPr>
      </w:r>
      <w:r/>
    </w:p>
    <w:p>
      <w:pPr>
        <w:pStyle w:val="775"/>
        <w:numPr>
          <w:ilvl w:val="0"/>
          <w:numId w:val="6"/>
        </w:numPr>
        <w:rPr>
          <w:b/>
          <w:bCs/>
          <w:sz w:val="24"/>
          <w:szCs w:val="24"/>
        </w:rPr>
      </w:pPr>
      <w:r>
        <w:rPr>
          <w:rFonts w:hint="eastAsia"/>
          <w:b/>
          <w:bCs/>
          <w:sz w:val="24"/>
          <w:szCs w:val="24"/>
        </w:rPr>
        <w:t xml:space="preserve">物业服务（室外）</w:t>
      </w:r>
      <w:r/>
    </w:p>
    <w:p>
      <w:pPr>
        <w:pStyle w:val="775"/>
        <w:ind w:left="420" w:firstLine="0"/>
        <w:rPr>
          <w:b/>
          <w:bCs/>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b/>
          <w:bCs/>
          <w:sz w:val="24"/>
          <w:szCs w:val="24"/>
        </w:rPr>
        <w:t xml:space="preserve">1）行政中心</w:t>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4947"/>
        <w:gridCol w:w="5053"/>
      </w:tblGrid>
      <w:tr>
        <w:trPr/>
        <w:tc>
          <w:tcPr>
            <w:tcW w:w="2840"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名称</w:t>
            </w:r>
            <w:r/>
          </w:p>
        </w:tc>
        <w:tc>
          <w:tcPr>
            <w:tcW w:w="4947"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明细</w:t>
            </w:r>
            <w:r/>
          </w:p>
        </w:tc>
        <w:tc>
          <w:tcPr>
            <w:tcW w:w="5053"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服务内容及标准</w:t>
            </w:r>
            <w:r/>
          </w:p>
        </w:tc>
      </w:tr>
      <w:tr>
        <w:trPr/>
        <w:tc>
          <w:tcPr>
            <w:tcW w:w="2840"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室外面积</w:t>
            </w:r>
            <w:r/>
          </w:p>
        </w:tc>
        <w:tc>
          <w:tcPr>
            <w:tcW w:w="4947"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55897㎡</w:t>
            </w:r>
            <w:r/>
          </w:p>
        </w:tc>
        <w:tc>
          <w:tcPr>
            <w:tcW w:w="5053" w:type="dxa"/>
            <w:textDirection w:val="lrTb"/>
            <w:noWrap w:val="false"/>
          </w:tcPr>
          <w:p>
            <w:pPr>
              <w:pStyle w:val="775"/>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3.2保洁服务”、“3.3绿化养护服务”</w:t>
            </w:r>
            <w:r/>
          </w:p>
        </w:tc>
      </w:tr>
      <w:tr>
        <w:trPr/>
        <w:tc>
          <w:tcPr>
            <w:tcW w:w="2840"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绿化面积</w:t>
            </w:r>
            <w:r/>
          </w:p>
        </w:tc>
        <w:tc>
          <w:tcPr>
            <w:tcW w:w="4947" w:type="dxa"/>
            <w:textDirection w:val="lrTb"/>
            <w:noWrap w:val="false"/>
          </w:tcPr>
          <w:p>
            <w:pPr>
              <w:pStyle w:val="775"/>
              <w:ind w:firstLine="0"/>
              <w:jc w:val="lef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行政中心绿地、广场道路花坛、河道岸边绿植、楼层空中花园和领导宿舍休闲区等绿地草坪色带养护。养护区域绿地总面积为62406㎡；其中，乔木1454株；灌木8679株；色带面积39095㎡；草坪面积59090.5㎡。</w:t>
            </w:r>
            <w:r/>
          </w:p>
        </w:tc>
        <w:tc>
          <w:tcPr>
            <w:tcW w:w="5053"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3.2保洁服务”、“3.3绿化养护服务”</w:t>
            </w:r>
            <w:r/>
          </w:p>
        </w:tc>
      </w:tr>
      <w:tr>
        <w:trPr/>
        <w:tc>
          <w:tcPr>
            <w:tcW w:w="2840"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广场</w:t>
            </w:r>
            <w:r/>
          </w:p>
        </w:tc>
        <w:tc>
          <w:tcPr>
            <w:tcW w:w="4947"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28632㎡</w:t>
            </w:r>
            <w:r/>
          </w:p>
        </w:tc>
        <w:tc>
          <w:tcPr>
            <w:tcW w:w="5053" w:type="dxa"/>
            <w:textDirection w:val="lrTb"/>
            <w:noWrap w:val="false"/>
          </w:tcPr>
          <w:p>
            <w:pPr>
              <w:pStyle w:val="775"/>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c>
          <w:tcPr>
            <w:tcW w:w="2840"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垃圾箱</w:t>
            </w:r>
            <w:r/>
          </w:p>
        </w:tc>
        <w:tc>
          <w:tcPr>
            <w:tcW w:w="4947"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96个</w:t>
            </w:r>
            <w:r/>
          </w:p>
        </w:tc>
        <w:tc>
          <w:tcPr>
            <w:tcW w:w="5053" w:type="dxa"/>
            <w:textDirection w:val="lrTb"/>
            <w:noWrap w:val="false"/>
          </w:tcPr>
          <w:p>
            <w:pPr>
              <w:pStyle w:val="775"/>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w:t>
            </w:r>
            <w:r/>
          </w:p>
        </w:tc>
      </w:tr>
    </w:tbl>
    <w:p>
      <w:pPr>
        <w:pStyle w:val="775"/>
        <w:ind w:left="420" w:firstLine="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2）联检大楼</w:t>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4960"/>
        <w:gridCol w:w="5054"/>
      </w:tblGrid>
      <w:tr>
        <w:trPr/>
        <w:tc>
          <w:tcPr>
            <w:tcW w:w="2840"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名称</w:t>
            </w:r>
            <w:r/>
          </w:p>
        </w:tc>
        <w:tc>
          <w:tcPr>
            <w:tcW w:w="4960"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明细</w:t>
            </w:r>
            <w:r/>
          </w:p>
        </w:tc>
        <w:tc>
          <w:tcPr>
            <w:tcW w:w="5054"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服务内容及标准</w:t>
            </w:r>
            <w:r/>
          </w:p>
        </w:tc>
      </w:tr>
      <w:tr>
        <w:trPr/>
        <w:tc>
          <w:tcPr>
            <w:tcW w:w="2840"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室外面积</w:t>
            </w:r>
            <w:r/>
          </w:p>
        </w:tc>
        <w:tc>
          <w:tcPr>
            <w:tcW w:w="4960"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17032.52㎡</w:t>
            </w:r>
            <w:r/>
          </w:p>
        </w:tc>
        <w:tc>
          <w:tcPr>
            <w:tcW w:w="5054" w:type="dxa"/>
            <w:textDirection w:val="lrTb"/>
            <w:noWrap w:val="false"/>
          </w:tcPr>
          <w:p>
            <w:pPr>
              <w:pStyle w:val="775"/>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3.2保洁服务”、“3.3绿化养护服务”</w:t>
            </w:r>
            <w:r/>
          </w:p>
        </w:tc>
      </w:tr>
      <w:tr>
        <w:trPr/>
        <w:tc>
          <w:tcPr>
            <w:tcW w:w="2840"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绿化面积</w:t>
            </w:r>
            <w:r/>
          </w:p>
        </w:tc>
        <w:tc>
          <w:tcPr>
            <w:tcW w:w="4960" w:type="dxa"/>
            <w:textDirection w:val="lrTb"/>
            <w:noWrap w:val="false"/>
          </w:tcPr>
          <w:p>
            <w:pPr>
              <w:pStyle w:val="775"/>
              <w:ind w:firstLine="0"/>
              <w:jc w:val="lef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联检大楼绿地、外商服务大楼绿地、海关附属楼绿地、广场道路花坛绿地草坪色带。养护区域绿地总面积为17050㎡。</w:t>
            </w:r>
            <w:r/>
          </w:p>
        </w:tc>
        <w:tc>
          <w:tcPr>
            <w:tcW w:w="5054"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3.2保洁服务”、“3.3绿化养护服务”</w:t>
            </w:r>
            <w:r/>
          </w:p>
        </w:tc>
      </w:tr>
      <w:tr>
        <w:trPr/>
        <w:tc>
          <w:tcPr>
            <w:tcW w:w="2840"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广场</w:t>
            </w:r>
            <w:r/>
          </w:p>
        </w:tc>
        <w:tc>
          <w:tcPr>
            <w:tcW w:w="4960"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14636㎡</w:t>
            </w:r>
            <w:r/>
          </w:p>
        </w:tc>
        <w:tc>
          <w:tcPr>
            <w:tcW w:w="5054" w:type="dxa"/>
            <w:textDirection w:val="lrTb"/>
            <w:noWrap w:val="false"/>
          </w:tcPr>
          <w:p>
            <w:pPr>
              <w:pStyle w:val="775"/>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c>
          <w:tcPr>
            <w:tcW w:w="2840" w:type="dxa"/>
            <w:vAlign w:val="center"/>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垃圾箱</w:t>
            </w:r>
            <w:r/>
          </w:p>
        </w:tc>
        <w:tc>
          <w:tcPr>
            <w:tcW w:w="4960" w:type="dxa"/>
            <w:textDirection w:val="lrTb"/>
            <w:noWrap w:val="false"/>
          </w:tcPr>
          <w:p>
            <w:pPr>
              <w:pStyle w:val="775"/>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6个</w:t>
            </w:r>
            <w:r/>
          </w:p>
        </w:tc>
        <w:tc>
          <w:tcPr>
            <w:tcW w:w="5054" w:type="dxa"/>
            <w:textDirection w:val="lrTb"/>
            <w:noWrap w:val="false"/>
          </w:tcPr>
          <w:p>
            <w:pPr>
              <w:pStyle w:val="775"/>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eastAsiaTheme="minorEastAsia" w:cstheme="minorEastAsia"/>
          <w:b/>
          <w:i/>
          <w:sz w:val="24"/>
          <w:szCs w:val="24"/>
        </w:rPr>
      </w:pPr>
      <w:r>
        <w:rPr>
          <w:rFonts w:hint="eastAsia" w:asciiTheme="minorEastAsia" w:hAnsiTheme="minorEastAsia" w:eastAsiaTheme="minorEastAsia" w:cstheme="minorEastAsia"/>
          <w:b/>
          <w:i/>
          <w:sz w:val="24"/>
          <w:szCs w:val="24"/>
        </w:rPr>
        <w:t xml:space="preserve">3.项目服务内容及标准</w:t>
      </w:r>
      <w:r/>
    </w:p>
    <w:p>
      <w:pPr>
        <w:pStyle w:val="775"/>
        <w:ind w:left="420" w:firstLine="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本项目包括基本服务、保洁服务、绿化养护服务。</w:t>
      </w:r>
      <w:r/>
    </w:p>
    <w:p>
      <w:pPr>
        <w:pStyle w:val="775"/>
        <w:ind w:left="420" w:firstLine="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3.1基本服务</w:t>
      </w:r>
      <w:r/>
    </w:p>
    <w:tbl>
      <w:tblPr>
        <w:tblStyle w:val="987"/>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textDirection w:val="lrTb"/>
            <w:noWrap w:val="false"/>
          </w:tcPr>
          <w:p>
            <w:pPr>
              <w:ind w:left="406"/>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序号</w:t>
            </w:r>
            <w:r/>
          </w:p>
        </w:tc>
        <w:tc>
          <w:tcPr>
            <w:tcW w:w="3294" w:type="dxa"/>
            <w:textDirection w:val="lrTb"/>
            <w:noWrap w:val="false"/>
          </w:tcPr>
          <w:p>
            <w:pPr>
              <w:ind w:left="1225"/>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服务内容</w:t>
            </w:r>
            <w:r/>
          </w:p>
        </w:tc>
        <w:tc>
          <w:tcPr>
            <w:tcW w:w="10020" w:type="dxa"/>
            <w:textDirection w:val="lrTb"/>
            <w:noWrap w:val="false"/>
          </w:tcPr>
          <w:p>
            <w:pPr>
              <w:ind w:left="4587"/>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服务标准</w:t>
            </w:r>
            <w:r/>
          </w:p>
        </w:tc>
      </w:tr>
      <w:tr>
        <w:trPr>
          <w:trHeight w:val="859"/>
        </w:trPr>
        <w:tc>
          <w:tcPr>
            <w:tcW w:w="1236" w:type="dxa"/>
            <w:vAlign w:val="center"/>
            <w:textDirection w:val="lrTb"/>
            <w:noWrap w:val="false"/>
          </w:tcPr>
          <w:p>
            <w:pPr>
              <w:jc w:val="center"/>
              <w:spacing w:line="29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9"/>
              <w:jc w:val="center"/>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w:t>
            </w:r>
            <w:r/>
          </w:p>
        </w:tc>
        <w:tc>
          <w:tcPr>
            <w:tcW w:w="3294" w:type="dxa"/>
            <w:vAlign w:val="center"/>
            <w:textDirection w:val="lrTb"/>
            <w:noWrap w:val="false"/>
          </w:tcPr>
          <w:p>
            <w:pPr>
              <w:jc w:val="center"/>
              <w:spacing w:line="252"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3"/>
              <w:ind w:left="149"/>
              <w:jc w:val="center"/>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9"/>
                <w:sz w:val="24"/>
                <w:szCs w:val="24"/>
              </w:rPr>
              <w:t xml:space="preserve">目标与责任</w:t>
            </w:r>
            <w:r/>
          </w:p>
        </w:tc>
        <w:tc>
          <w:tcPr>
            <w:tcW w:w="10020" w:type="dxa"/>
            <w:vAlign w:val="center"/>
            <w:textDirection w:val="lrTb"/>
            <w:noWrap w:val="false"/>
          </w:tcPr>
          <w:p>
            <w:pPr>
              <w:pStyle w:val="1073"/>
              <w:jc w:val="center"/>
              <w:spacing w:before="90" w:line="190" w:lineRule="auto"/>
              <w:rPr>
                <w:rFonts w:asciiTheme="minorEastAsia" w:hAnsiTheme="minorEastAsia" w:eastAsiaTheme="minorEastAsia" w:cstheme="minorEastAsia"/>
                <w:i/>
                <w:iCs/>
                <w:color w:val="auto"/>
                <w:spacing w:val="-2"/>
                <w:sz w:val="24"/>
                <w:szCs w:val="24"/>
                <w:lang w:eastAsia="zh-CN"/>
              </w:rPr>
            </w:pPr>
            <w:r>
              <w:rPr>
                <w:rFonts w:asciiTheme="minorEastAsia" w:hAnsiTheme="minorEastAsia" w:eastAsiaTheme="minorEastAsia" w:cstheme="minorEastAsia"/>
                <w:i/>
                <w:iCs/>
                <w:color w:val="auto"/>
                <w:spacing w:val="-2"/>
                <w:sz w:val="24"/>
                <w:szCs w:val="24"/>
                <w:lang w:eastAsia="zh-CN"/>
              </w:rPr>
            </w:r>
            <w:r/>
          </w:p>
          <w:p>
            <w:pPr>
              <w:pStyle w:val="1073"/>
              <w:spacing w:before="90"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2"/>
                <w:sz w:val="24"/>
                <w:szCs w:val="24"/>
                <w:lang w:eastAsia="zh-CN"/>
              </w:rPr>
              <w:t xml:space="preserve">结合采购人要求及物业服务的实际情况，制定年度管理目标，明确责任分工，</w:t>
            </w:r>
            <w:r>
              <w:rPr>
                <w:rFonts w:hint="eastAsia" w:asciiTheme="minorEastAsia" w:hAnsiTheme="minorEastAsia" w:eastAsiaTheme="minorEastAsia" w:cstheme="minorEastAsia"/>
                <w:i/>
                <w:iCs/>
                <w:color w:val="auto"/>
                <w:spacing w:val="-3"/>
                <w:sz w:val="24"/>
                <w:szCs w:val="24"/>
                <w:lang w:eastAsia="zh-CN"/>
              </w:rPr>
              <w:t xml:space="preserve">并制定配套实施方案。</w:t>
            </w:r>
            <w:r/>
          </w:p>
        </w:tc>
      </w:tr>
      <w:tr>
        <w:trPr>
          <w:trHeight w:val="685"/>
        </w:trPr>
        <w:tc>
          <w:tcPr>
            <w:tcW w:w="1236" w:type="dxa"/>
            <w:vMerge w:val="restart"/>
            <w:textDirection w:val="lrTb"/>
            <w:noWrap w:val="false"/>
          </w:tcPr>
          <w:p>
            <w:pPr>
              <w:spacing w:line="251"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52"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52"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3"/>
              <w:spacing w:before="64" w:line="180"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3"/>
              <w:spacing w:before="64" w:line="180"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3"/>
              <w:spacing w:before="64" w:line="180"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w:t>
            </w:r>
            <w:r/>
          </w:p>
        </w:tc>
        <w:tc>
          <w:tcPr>
            <w:tcW w:w="3294" w:type="dxa"/>
            <w:vMerge w:val="restart"/>
            <w:textDirection w:val="lrTb"/>
            <w:noWrap w:val="false"/>
          </w:tcPr>
          <w:p>
            <w:pPr>
              <w:spacing w:line="355"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355"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3"/>
              <w:ind w:left="109"/>
              <w:spacing w:before="68" w:line="221" w:lineRule="auto"/>
              <w:rPr>
                <w:rFonts w:asciiTheme="minorEastAsia" w:hAnsiTheme="minorEastAsia" w:eastAsiaTheme="minorEastAsia" w:cstheme="minorEastAsia"/>
                <w:i/>
                <w:iCs/>
                <w:color w:val="auto"/>
                <w:spacing w:val="-1"/>
                <w:sz w:val="24"/>
                <w:szCs w:val="24"/>
              </w:rPr>
            </w:pPr>
            <w:r>
              <w:rPr>
                <w:rFonts w:asciiTheme="minorEastAsia" w:hAnsiTheme="minorEastAsia" w:eastAsiaTheme="minorEastAsia" w:cstheme="minorEastAsia"/>
                <w:i/>
                <w:iCs/>
                <w:color w:val="auto"/>
                <w:spacing w:val="-1"/>
                <w:sz w:val="24"/>
                <w:szCs w:val="24"/>
              </w:rPr>
            </w:r>
            <w:r/>
          </w:p>
          <w:p>
            <w:pPr>
              <w:pStyle w:val="1073"/>
              <w:ind w:left="109"/>
              <w:spacing w:before="68" w:line="221" w:lineRule="auto"/>
              <w:rPr>
                <w:rFonts w:asciiTheme="minorEastAsia" w:hAnsiTheme="minorEastAsia" w:eastAsiaTheme="minorEastAsia" w:cstheme="minorEastAsia"/>
                <w:i/>
                <w:iCs/>
                <w:color w:val="auto"/>
                <w:spacing w:val="-1"/>
                <w:sz w:val="24"/>
                <w:szCs w:val="24"/>
              </w:rPr>
            </w:pPr>
            <w:r>
              <w:rPr>
                <w:rFonts w:asciiTheme="minorEastAsia" w:hAnsiTheme="minorEastAsia" w:eastAsiaTheme="minorEastAsia" w:cstheme="minorEastAsia"/>
                <w:i/>
                <w:iCs/>
                <w:color w:val="auto"/>
                <w:spacing w:val="-1"/>
                <w:sz w:val="24"/>
                <w:szCs w:val="24"/>
              </w:rPr>
            </w:r>
            <w:r/>
          </w:p>
          <w:p>
            <w:pPr>
              <w:pStyle w:val="1073"/>
              <w:ind w:left="109" w:firstLine="952"/>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1"/>
                <w:sz w:val="24"/>
                <w:szCs w:val="24"/>
              </w:rPr>
              <w:t xml:space="preserve">服务人员要求</w:t>
            </w:r>
            <w:r/>
          </w:p>
        </w:tc>
        <w:tc>
          <w:tcPr>
            <w:tcW w:w="10020" w:type="dxa"/>
            <w:textDirection w:val="lrTb"/>
            <w:noWrap w:val="false"/>
          </w:tcPr>
          <w:p>
            <w:pPr>
              <w:pStyle w:val="1073"/>
              <w:ind w:right="106"/>
              <w:spacing w:before="33"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（1）每季度至少开展</w:t>
            </w:r>
            <w:r>
              <w:rPr>
                <w:rFonts w:hint="eastAsia" w:asciiTheme="minorEastAsia" w:hAnsiTheme="minorEastAsia" w:eastAsiaTheme="minorEastAsia" w:cstheme="minorEastAsia"/>
                <w:i/>
                <w:iCs/>
                <w:color w:val="auto"/>
                <w:spacing w:val="-37"/>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1</w:t>
            </w:r>
            <w:r>
              <w:rPr>
                <w:rFonts w:hint="eastAsia" w:asciiTheme="minorEastAsia" w:hAnsiTheme="minorEastAsia" w:eastAsiaTheme="minorEastAsia" w:cstheme="minorEastAsia"/>
                <w:i/>
                <w:iCs/>
                <w:color w:val="auto"/>
                <w:spacing w:val="20"/>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次岗位技能、职业素质、服务知识、客户文化、绿色节能环保等教育培训，并</w:t>
            </w:r>
            <w:r>
              <w:rPr>
                <w:rFonts w:hint="eastAsia" w:asciiTheme="minorEastAsia" w:hAnsiTheme="minorEastAsia" w:eastAsiaTheme="minorEastAsia" w:cstheme="minorEastAsia"/>
                <w:i/>
                <w:iCs/>
                <w:color w:val="auto"/>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进行适当形式的考核。</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93"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（2）根据采购人要求对服务人员进行从业资格审查，审查结果向采购人报备。</w:t>
            </w:r>
            <w:r/>
          </w:p>
        </w:tc>
      </w:tr>
      <w:tr>
        <w:trPr>
          <w:trHeight w:val="1143"/>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ind w:right="104"/>
              <w:spacing w:before="36" w:line="244"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（3）服务人员的年龄、学历、工作经验及资格条件应当与所在岗位能力要求相匹配，到岗前</w:t>
            </w:r>
            <w:r>
              <w:rPr>
                <w:rFonts w:hint="eastAsia" w:asciiTheme="minorEastAsia" w:hAnsiTheme="minorEastAsia" w:eastAsiaTheme="minorEastAsia" w:cstheme="minorEastAsia"/>
                <w:i/>
                <w:iCs/>
                <w:color w:val="auto"/>
                <w:spacing w:val="-1"/>
                <w:sz w:val="24"/>
                <w:szCs w:val="24"/>
                <w:lang w:eastAsia="zh-CN"/>
              </w:rPr>
              <w:t xml:space="preserve">应当经过</w:t>
            </w:r>
            <w:r>
              <w:rPr>
                <w:rFonts w:hint="eastAsia" w:asciiTheme="minorEastAsia" w:hAnsiTheme="minorEastAsia" w:eastAsiaTheme="minorEastAsia" w:cstheme="minorEastAsia"/>
                <w:i/>
                <w:iCs/>
                <w:color w:val="auto"/>
                <w:spacing w:val="-2"/>
                <w:sz w:val="24"/>
                <w:szCs w:val="24"/>
                <w:lang w:eastAsia="zh-CN"/>
              </w:rPr>
              <w:t xml:space="preserve">必要的岗前培训以达到岗位能力要求，国家、行业规定应当取得职业资格证书或特种作业证书的，应当按规定持证上岗。</w:t>
            </w:r>
            <w:r/>
          </w:p>
        </w:tc>
      </w:tr>
      <w:tr>
        <w:trPr>
          <w:trHeight w:val="1026"/>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ind w:right="112"/>
              <w:jc w:val="both"/>
              <w:spacing w:before="34" w:line="260"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z w:val="24"/>
                <w:szCs w:val="24"/>
                <w:lang w:eastAsia="zh-CN"/>
              </w:rPr>
              <w:t xml:space="preserve">（4）如采购人认为服务人员不适应岗位要求或存在其他影响工作的，可要求供应</w:t>
            </w:r>
            <w:r>
              <w:rPr>
                <w:rFonts w:hint="eastAsia" w:asciiTheme="minorEastAsia" w:hAnsiTheme="minorEastAsia" w:eastAsiaTheme="minorEastAsia" w:cstheme="minorEastAsia"/>
                <w:i/>
                <w:iCs/>
                <w:color w:val="auto"/>
                <w:spacing w:val="-1"/>
                <w:sz w:val="24"/>
                <w:szCs w:val="24"/>
                <w:lang w:eastAsia="zh-CN"/>
              </w:rPr>
              <w:t xml:space="preserve">商进行调换。如因供</w:t>
            </w:r>
            <w:r>
              <w:rPr>
                <w:rFonts w:hint="eastAsia" w:asciiTheme="minorEastAsia" w:hAnsiTheme="minorEastAsia" w:eastAsiaTheme="minorEastAsia" w:cstheme="minorEastAsia"/>
                <w:i/>
                <w:iCs/>
                <w:color w:val="auto"/>
                <w:sz w:val="24"/>
                <w:szCs w:val="24"/>
                <w:lang w:eastAsia="zh-CN"/>
              </w:rPr>
              <w:t xml:space="preserve">应商原因对服务人员进行调换，应当经采购人同意，</w:t>
            </w:r>
            <w:r>
              <w:rPr>
                <w:rFonts w:hint="eastAsia" w:asciiTheme="minorEastAsia" w:hAnsiTheme="minorEastAsia" w:eastAsiaTheme="minorEastAsia" w:cstheme="minorEastAsia"/>
                <w:i/>
                <w:iCs/>
                <w:color w:val="auto"/>
                <w:spacing w:val="-1"/>
                <w:sz w:val="24"/>
                <w:szCs w:val="24"/>
                <w:lang w:eastAsia="zh-CN"/>
              </w:rPr>
              <w:t xml:space="preserve">更换比例不得超过本项目服务人员总数的20%。</w:t>
            </w:r>
            <w:r>
              <w:rPr>
                <w:rFonts w:hint="eastAsia" w:asciiTheme="minorEastAsia" w:hAnsiTheme="minorEastAsia" w:eastAsiaTheme="minorEastAsia" w:cstheme="minorEastAsia"/>
                <w:i/>
                <w:iCs/>
                <w:color w:val="auto"/>
                <w:spacing w:val="-1"/>
                <w:sz w:val="24"/>
                <w:szCs w:val="24"/>
              </w:rPr>
              <w:t xml:space="preserve">本项目</w:t>
            </w:r>
            <w:r>
              <w:rPr>
                <w:rFonts w:hint="eastAsia" w:asciiTheme="minorEastAsia" w:hAnsiTheme="minorEastAsia" w:eastAsiaTheme="minorEastAsia" w:cstheme="minorEastAsia"/>
                <w:i/>
                <w:iCs/>
                <w:color w:val="auto"/>
                <w:spacing w:val="-2"/>
                <w:sz w:val="24"/>
                <w:szCs w:val="24"/>
              </w:rPr>
              <w:t xml:space="preserve">服务人员不得在其他项目兼职。</w:t>
            </w:r>
            <w:r/>
          </w:p>
        </w:tc>
      </w:tr>
      <w:tr>
        <w:trPr>
          <w:trHeight w:val="461"/>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91"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（5）着装分类统一，佩戴标识。仪容整洁、姿态端正、举止文明。用语文明礼貌，态</w:t>
            </w:r>
            <w:r>
              <w:rPr>
                <w:rFonts w:hint="eastAsia" w:asciiTheme="minorEastAsia" w:hAnsiTheme="minorEastAsia" w:eastAsiaTheme="minorEastAsia" w:cstheme="minorEastAsia"/>
                <w:i/>
                <w:iCs/>
                <w:color w:val="auto"/>
                <w:sz w:val="24"/>
                <w:szCs w:val="24"/>
                <w:lang w:eastAsia="zh-CN"/>
              </w:rPr>
              <w:t xml:space="preserve">度温和耐心。</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88" w:line="20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2"/>
                <w:sz w:val="24"/>
                <w:szCs w:val="24"/>
                <w:lang w:eastAsia="zh-CN"/>
              </w:rPr>
              <w:t xml:space="preserve">（6）遵守采购人各种规章制度，服从采购人管理人员的监管，及时整改采购人提出的问题。</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88" w:line="200" w:lineRule="auto"/>
              <w:rPr>
                <w:rFonts w:asciiTheme="minorEastAsia" w:hAnsiTheme="minorEastAsia" w:eastAsiaTheme="minorEastAsia" w:cstheme="minorEastAsia"/>
                <w:i/>
                <w:iCs/>
                <w:color w:val="auto"/>
                <w:spacing w:val="12"/>
                <w:sz w:val="24"/>
                <w:szCs w:val="24"/>
                <w:lang w:eastAsia="zh-CN"/>
              </w:rPr>
            </w:pPr>
            <w:r>
              <w:rPr>
                <w:rFonts w:hint="eastAsia" w:asciiTheme="minorEastAsia" w:hAnsiTheme="minorEastAsia" w:eastAsiaTheme="minorEastAsia" w:cstheme="minorEastAsia"/>
                <w:i/>
                <w:iCs/>
                <w:color w:val="auto"/>
                <w:spacing w:val="12"/>
                <w:sz w:val="24"/>
                <w:szCs w:val="24"/>
                <w:lang w:eastAsia="zh-CN"/>
              </w:rPr>
              <w:t xml:space="preserve">（7）按照国家要求规范用工，服务期间一切用工纠纷与采购人无关。</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764"/>
              <w:jc w:val="both"/>
              <w:spacing w:beforeAutospacing="0" w:afterAutospacing="0" w:line="0" w:lineRule="atLeast"/>
              <w:tabs>
                <w:tab w:val="left" w:pos="312" w:leader="none"/>
              </w:tabs>
              <w:rPr>
                <w:rFonts w:asciiTheme="minorEastAsia" w:hAnsiTheme="minorEastAsia" w:eastAsiaTheme="minorEastAsia" w:cstheme="minorEastAsia"/>
                <w:i/>
                <w:iCs/>
                <w:spacing w:val="12"/>
                <w:szCs w:val="24"/>
              </w:rPr>
            </w:pPr>
            <w:r>
              <w:rPr>
                <w:rFonts w:hint="eastAsia" w:asciiTheme="minorEastAsia" w:hAnsiTheme="minorEastAsia" w:eastAsiaTheme="minorEastAsia" w:cstheme="minorEastAsia"/>
                <w:i/>
                <w:iCs/>
                <w:spacing w:val="12"/>
                <w:szCs w:val="24"/>
              </w:rPr>
              <w:t xml:space="preserve">（8）日常服务要求包括但不限于：①爱护公共设施，发现损坏设施、设备及时报告。②尽责尽职，吃苦耐劳，忠于职守。③遵守劳动纪律，不迟到，不早退，工作时间内有事请假；严禁上班时间大声喧哗。④注意节水节电，随手关灯、关窗。⑤工作中发现和捡拾物品要交公。⑥每天产生的垃圾及时清运至指定垃圾存放点，严禁在楼内外存放回收的废弃物品。⑦完成保洁责任区工作及采购人交办的其他事项。⑧员工健康证、身份证以及其他政府部门、公安部门要求的相关证件齐全。</w:t>
            </w:r>
            <w:r/>
          </w:p>
        </w:tc>
      </w:tr>
      <w:tr>
        <w:trPr>
          <w:trHeight w:val="686"/>
        </w:trPr>
        <w:tc>
          <w:tcPr>
            <w:tcW w:w="1236" w:type="dxa"/>
            <w:vMerge w:val="restart"/>
            <w:textDirection w:val="lrTb"/>
            <w:noWrap w:val="false"/>
          </w:tcPr>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1"/>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w:t>
            </w:r>
            <w:r/>
          </w:p>
        </w:tc>
        <w:tc>
          <w:tcPr>
            <w:tcW w:w="3294" w:type="dxa"/>
            <w:vMerge w:val="restart"/>
            <w:textDirection w:val="lrTb"/>
            <w:noWrap w:val="false"/>
          </w:tcPr>
          <w:p>
            <w:pPr>
              <w:spacing w:line="26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3"/>
              <w:ind w:left="110"/>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1"/>
                <w:sz w:val="24"/>
                <w:szCs w:val="24"/>
              </w:rPr>
              <w:t xml:space="preserve">保密和思想政治教育</w:t>
            </w:r>
            <w:r/>
          </w:p>
        </w:tc>
        <w:tc>
          <w:tcPr>
            <w:tcW w:w="10020" w:type="dxa"/>
            <w:textDirection w:val="lrTb"/>
            <w:noWrap w:val="false"/>
          </w:tcPr>
          <w:p>
            <w:pPr>
              <w:pStyle w:val="1073"/>
              <w:ind w:right="128"/>
              <w:spacing w:before="15"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（1）建立保密管理制度。制度内容应当包括但不限于：①明确重点要害岗</w:t>
            </w:r>
            <w:r>
              <w:rPr>
                <w:rFonts w:hint="eastAsia" w:asciiTheme="minorEastAsia" w:hAnsiTheme="minorEastAsia" w:eastAsiaTheme="minorEastAsia" w:cstheme="minorEastAsia"/>
                <w:i/>
                <w:iCs/>
                <w:color w:val="auto"/>
                <w:sz w:val="24"/>
                <w:szCs w:val="24"/>
                <w:lang w:eastAsia="zh-CN"/>
              </w:rPr>
              <w:t xml:space="preserve">位保密职责。②对涉密工</w:t>
            </w:r>
            <w:r>
              <w:rPr>
                <w:rFonts w:hint="eastAsia" w:asciiTheme="minorEastAsia" w:hAnsiTheme="minorEastAsia" w:eastAsiaTheme="minorEastAsia" w:cstheme="minorEastAsia"/>
                <w:i/>
                <w:iCs/>
                <w:color w:val="auto"/>
                <w:spacing w:val="-3"/>
                <w:sz w:val="24"/>
                <w:szCs w:val="24"/>
                <w:lang w:eastAsia="zh-CN"/>
              </w:rPr>
              <w:t xml:space="preserve">作岗位的保密要求。</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91"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（2）根据采购人要求与涉密工作岗位的服务人员签订保密协议。保密协议应当向采购</w:t>
            </w:r>
            <w:r>
              <w:rPr>
                <w:rFonts w:hint="eastAsia" w:asciiTheme="minorEastAsia" w:hAnsiTheme="minorEastAsia" w:eastAsiaTheme="minorEastAsia" w:cstheme="minorEastAsia"/>
                <w:i/>
                <w:iCs/>
                <w:color w:val="auto"/>
                <w:sz w:val="24"/>
                <w:szCs w:val="24"/>
                <w:lang w:eastAsia="zh-CN"/>
              </w:rPr>
              <w:t xml:space="preserve">人报备。</w:t>
            </w:r>
            <w:r/>
          </w:p>
        </w:tc>
      </w:tr>
      <w:tr>
        <w:trPr>
          <w:trHeight w:val="1027"/>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ind w:right="104"/>
              <w:jc w:val="both"/>
              <w:spacing w:before="35" w:line="26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（3）每季度至少开展</w:t>
            </w:r>
            <w:r>
              <w:rPr>
                <w:rFonts w:hint="eastAsia" w:asciiTheme="minorEastAsia" w:hAnsiTheme="minorEastAsia" w:eastAsiaTheme="minorEastAsia" w:cstheme="minorEastAsia"/>
                <w:i/>
                <w:iCs/>
                <w:color w:val="auto"/>
                <w:spacing w:val="-37"/>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1次对服务人员进行保密、思想政治教育的培训，提高服务人员保密意识和思想</w:t>
            </w:r>
            <w:r>
              <w:rPr>
                <w:rFonts w:hint="eastAsia" w:asciiTheme="minorEastAsia" w:hAnsiTheme="minorEastAsia" w:eastAsiaTheme="minorEastAsia" w:cstheme="minorEastAsia"/>
                <w:i/>
                <w:iCs/>
                <w:color w:val="auto"/>
                <w:sz w:val="24"/>
                <w:szCs w:val="24"/>
                <w:lang w:eastAsia="zh-CN"/>
              </w:rPr>
              <w:t xml:space="preserve"> </w:t>
            </w:r>
            <w:r>
              <w:rPr>
                <w:rFonts w:hint="eastAsia" w:asciiTheme="minorEastAsia" w:hAnsiTheme="minorEastAsia" w:eastAsiaTheme="minorEastAsia" w:cstheme="minorEastAsia"/>
                <w:i/>
                <w:iCs/>
                <w:color w:val="auto"/>
                <w:spacing w:val="-2"/>
                <w:sz w:val="24"/>
                <w:szCs w:val="24"/>
                <w:lang w:eastAsia="zh-CN"/>
              </w:rPr>
              <w:t xml:space="preserve">政治意识。新入职员工应当接受保密、思想政治教育培训，进行必要的人员经历审查，合格后签订保密协议</w:t>
            </w:r>
            <w:r>
              <w:rPr>
                <w:rFonts w:hint="eastAsia" w:asciiTheme="minorEastAsia" w:hAnsiTheme="minorEastAsia" w:eastAsiaTheme="minorEastAsia" w:cstheme="minorEastAsia"/>
                <w:i/>
                <w:iCs/>
                <w:color w:val="auto"/>
                <w:spacing w:val="-4"/>
                <w:sz w:val="24"/>
                <w:szCs w:val="24"/>
                <w:lang w:eastAsia="zh-CN"/>
              </w:rPr>
              <w:t xml:space="preserve">方可上岗。</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91"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（4）发现服务人员违法违规或重大过失，及时报</w:t>
            </w:r>
            <w:r>
              <w:rPr>
                <w:rFonts w:hint="eastAsia" w:asciiTheme="minorEastAsia" w:hAnsiTheme="minorEastAsia" w:eastAsiaTheme="minorEastAsia" w:cstheme="minorEastAsia"/>
                <w:i/>
                <w:iCs/>
                <w:color w:val="auto"/>
                <w:sz w:val="24"/>
                <w:szCs w:val="24"/>
                <w:lang w:eastAsia="zh-CN"/>
              </w:rPr>
              <w:t xml:space="preserve">告采购人，并采取必要补救措施。</w:t>
            </w:r>
            <w:r/>
          </w:p>
        </w:tc>
      </w:tr>
      <w:tr>
        <w:trPr>
          <w:trHeight w:val="460"/>
        </w:trPr>
        <w:tc>
          <w:tcPr>
            <w:tcW w:w="1236" w:type="dxa"/>
            <w:vMerge w:val="restart"/>
            <w:textDirection w:val="lrTb"/>
            <w:noWrap w:val="false"/>
          </w:tcPr>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66"/>
              <w:spacing w:before="64" w:line="178"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4</w:t>
            </w:r>
            <w:r/>
          </w:p>
        </w:tc>
        <w:tc>
          <w:tcPr>
            <w:tcW w:w="3294" w:type="dxa"/>
            <w:vMerge w:val="restart"/>
            <w:textDirection w:val="lrTb"/>
            <w:noWrap w:val="false"/>
          </w:tcPr>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3"/>
              <w:ind w:left="110"/>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2"/>
                <w:sz w:val="24"/>
                <w:szCs w:val="24"/>
              </w:rPr>
              <w:t xml:space="preserve">档案管理</w:t>
            </w:r>
            <w:r/>
          </w:p>
        </w:tc>
        <w:tc>
          <w:tcPr>
            <w:tcW w:w="10020" w:type="dxa"/>
            <w:vAlign w:val="center"/>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pacing w:val="-2"/>
                <w:szCs w:val="24"/>
              </w:rPr>
            </w:pPr>
            <w:r>
              <w:rPr>
                <w:rFonts w:hint="eastAsia" w:asciiTheme="minorEastAsia" w:hAnsiTheme="minorEastAsia" w:eastAsiaTheme="minorEastAsia" w:cstheme="minorEastAsia"/>
                <w:i/>
                <w:iCs/>
                <w:spacing w:val="-2"/>
                <w:szCs w:val="24"/>
              </w:rPr>
              <w:t xml:space="preserve">（1）建立保洁信息，准确、及时地对文件资料和服务记录进行归档保存，并确保其物理安全。</w:t>
            </w:r>
            <w:r/>
          </w:p>
        </w:tc>
      </w:tr>
      <w:tr>
        <w:trPr>
          <w:trHeight w:val="1170"/>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vAlign w:val="center"/>
            <w:textDirection w:val="lrTb"/>
            <w:noWrap w:val="false"/>
          </w:tcPr>
          <w:p>
            <w:pPr>
              <w:pStyle w:val="764"/>
              <w:ind w:right="-17"/>
              <w:jc w:val="both"/>
              <w:spacing w:before="4" w:beforeAutospacing="0" w:afterAutospacing="0"/>
              <w:tabs>
                <w:tab w:val="left" w:pos="612" w:leader="none"/>
              </w:tabs>
              <w:rPr>
                <w:rFonts w:asciiTheme="minorEastAsia" w:hAnsiTheme="minorEastAsia" w:eastAsiaTheme="minorEastAsia" w:cstheme="minorEastAsia"/>
                <w:i/>
                <w:iCs/>
                <w:spacing w:val="-2"/>
                <w:szCs w:val="24"/>
              </w:rPr>
            </w:pPr>
            <w:r>
              <w:rPr>
                <w:rFonts w:hint="eastAsia" w:asciiTheme="minorEastAsia" w:hAnsiTheme="minorEastAsia" w:eastAsiaTheme="minorEastAsia" w:cstheme="minorEastAsia"/>
                <w:i/>
                <w:iCs/>
                <w:spacing w:val="-2"/>
                <w:szCs w:val="24"/>
              </w:rPr>
              <w:t xml:space="preserve">（2）档案和记录齐全，包括但不限于：①采购人建议与投诉等。②教育培训和考核记录，保密、思想政治教育培训记录。③人员考勤。④保洁工作日志或清洁检查表等。⑤清洁整改记录、消杀记录等。⑥绿化养护：绿化总平面图、清洁整改记录、消杀记录等。</w:t>
            </w:r>
            <w:r/>
          </w:p>
        </w:tc>
      </w:tr>
      <w:tr>
        <w:trPr>
          <w:trHeight w:val="691"/>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vAlign w:val="center"/>
            <w:textDirection w:val="lrTb"/>
            <w:noWrap w:val="false"/>
          </w:tcPr>
          <w:p>
            <w:pPr>
              <w:pStyle w:val="764"/>
              <w:jc w:val="both"/>
              <w:spacing w:before="3" w:beforeAutospacing="0" w:afterAutospacing="0"/>
              <w:tabs>
                <w:tab w:val="left" w:pos="602" w:leader="none"/>
              </w:tabs>
              <w:rPr>
                <w:rFonts w:asciiTheme="minorEastAsia" w:hAnsiTheme="minorEastAsia" w:eastAsiaTheme="minorEastAsia" w:cstheme="minorEastAsia"/>
                <w:i/>
                <w:iCs/>
                <w:spacing w:val="-2"/>
                <w:szCs w:val="24"/>
              </w:rPr>
            </w:pPr>
            <w:r>
              <w:rPr>
                <w:rFonts w:hint="eastAsia" w:asciiTheme="minorEastAsia" w:hAnsiTheme="minorEastAsia" w:eastAsiaTheme="minorEastAsia" w:cstheme="minorEastAsia"/>
                <w:i/>
                <w:iCs/>
                <w:spacing w:val="-2"/>
                <w:szCs w:val="24"/>
              </w:rPr>
              <w:t xml:space="preserve">（3）遵守采购人的信息、档案资料保密要求，未经许可，不得将建筑物平面图等资料转作其他用途或向其他单位、个人提供。</w:t>
            </w:r>
            <w:r/>
          </w:p>
        </w:tc>
      </w:tr>
      <w:tr>
        <w:trPr>
          <w:trHeight w:val="463"/>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94"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（4）履约结束后，相关资料交还采购人，采购</w:t>
            </w:r>
            <w:r>
              <w:rPr>
                <w:rFonts w:hint="eastAsia" w:asciiTheme="minorEastAsia" w:hAnsiTheme="minorEastAsia" w:eastAsiaTheme="minorEastAsia" w:cstheme="minorEastAsia"/>
                <w:i/>
                <w:iCs/>
                <w:color w:val="auto"/>
                <w:sz w:val="24"/>
                <w:szCs w:val="24"/>
                <w:lang w:eastAsia="zh-CN"/>
              </w:rPr>
              <w:t xml:space="preserve">人按政府采购相关规定存档。</w:t>
            </w:r>
            <w:r/>
          </w:p>
        </w:tc>
      </w:tr>
      <w:tr>
        <w:trPr>
          <w:trHeight w:val="686"/>
        </w:trPr>
        <w:tc>
          <w:tcPr>
            <w:tcW w:w="1236" w:type="dxa"/>
            <w:vMerge w:val="restart"/>
            <w:textDirection w:val="lrTb"/>
            <w:noWrap w:val="false"/>
          </w:tcPr>
          <w:p>
            <w:pPr>
              <w:spacing w:line="275"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6"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6"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2"/>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5</w:t>
            </w:r>
            <w:r/>
          </w:p>
        </w:tc>
        <w:tc>
          <w:tcPr>
            <w:tcW w:w="3294" w:type="dxa"/>
            <w:vMerge w:val="restart"/>
            <w:textDirection w:val="lrTb"/>
            <w:noWrap w:val="false"/>
          </w:tcPr>
          <w:p>
            <w:pPr>
              <w:spacing w:line="259"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0"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0"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3"/>
              <w:ind w:left="109"/>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2"/>
                <w:sz w:val="24"/>
                <w:szCs w:val="24"/>
              </w:rPr>
              <w:t xml:space="preserve">服务改进</w:t>
            </w:r>
            <w:r/>
          </w:p>
        </w:tc>
        <w:tc>
          <w:tcPr>
            <w:tcW w:w="10020" w:type="dxa"/>
            <w:textDirection w:val="lrTb"/>
            <w:noWrap w:val="false"/>
          </w:tcPr>
          <w:p>
            <w:pPr>
              <w:pStyle w:val="1073"/>
              <w:ind w:right="104"/>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（1）明确负责人，定期对物业服务过程进行自查，结合反馈意见与评价结果采取改进措施，</w:t>
            </w:r>
            <w:r>
              <w:rPr>
                <w:rFonts w:hint="eastAsia" w:asciiTheme="minorEastAsia" w:hAnsiTheme="minorEastAsia" w:eastAsiaTheme="minorEastAsia" w:cstheme="minorEastAsia"/>
                <w:i/>
                <w:iCs/>
                <w:color w:val="auto"/>
                <w:spacing w:val="-1"/>
                <w:sz w:val="24"/>
                <w:szCs w:val="24"/>
                <w:lang w:eastAsia="zh-CN"/>
              </w:rPr>
              <w:t xml:space="preserve">持续提升</w:t>
            </w:r>
            <w:r>
              <w:rPr>
                <w:rFonts w:hint="eastAsia" w:asciiTheme="minorEastAsia" w:hAnsiTheme="minorEastAsia" w:eastAsiaTheme="minorEastAsia" w:cstheme="minorEastAsia"/>
                <w:i/>
                <w:iCs/>
                <w:color w:val="auto"/>
                <w:spacing w:val="-2"/>
                <w:sz w:val="24"/>
                <w:szCs w:val="24"/>
                <w:lang w:eastAsia="zh-CN"/>
              </w:rPr>
              <w:t xml:space="preserve">管理与服务水平。</w:t>
            </w:r>
            <w:r/>
          </w:p>
        </w:tc>
      </w:tr>
      <w:tr>
        <w:trPr>
          <w:trHeight w:val="686"/>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ind w:right="104"/>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（2）对不合格服务进行控制，对不合格服务的原因进行识别和分析，及时采取纠正措施，消</w:t>
            </w:r>
            <w:r>
              <w:rPr>
                <w:rFonts w:hint="eastAsia" w:asciiTheme="minorEastAsia" w:hAnsiTheme="minorEastAsia" w:eastAsiaTheme="minorEastAsia" w:cstheme="minorEastAsia"/>
                <w:i/>
                <w:iCs/>
                <w:color w:val="auto"/>
                <w:spacing w:val="-1"/>
                <w:sz w:val="24"/>
                <w:szCs w:val="24"/>
                <w:lang w:eastAsia="zh-CN"/>
              </w:rPr>
              <w:t xml:space="preserve">除不合格</w:t>
            </w:r>
            <w:r>
              <w:rPr>
                <w:rFonts w:hint="eastAsia" w:asciiTheme="minorEastAsia" w:hAnsiTheme="minorEastAsia" w:eastAsiaTheme="minorEastAsia" w:cstheme="minorEastAsia"/>
                <w:i/>
                <w:iCs/>
                <w:color w:val="auto"/>
                <w:spacing w:val="-3"/>
                <w:sz w:val="24"/>
                <w:szCs w:val="24"/>
                <w:lang w:eastAsia="zh-CN"/>
              </w:rPr>
              <w:t xml:space="preserve">的原因，防止不合格再发生。</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89" w:line="191"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（3）需整改问题及时整改完成。</w:t>
            </w:r>
            <w:r/>
          </w:p>
        </w:tc>
      </w:tr>
      <w:tr>
        <w:trPr>
          <w:trHeight w:val="686"/>
        </w:trPr>
        <w:tc>
          <w:tcPr>
            <w:tcW w:w="1236" w:type="dxa"/>
            <w:vAlign w:val="center"/>
            <w:vMerge w:val="restart"/>
            <w:textDirection w:val="lrTb"/>
            <w:noWrap w:val="false"/>
          </w:tcPr>
          <w:p>
            <w:pPr>
              <w:ind w:firstLine="480"/>
              <w:spacing w:before="64" w:line="178"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6</w:t>
            </w:r>
            <w:r/>
          </w:p>
        </w:tc>
        <w:tc>
          <w:tcPr>
            <w:tcW w:w="3294" w:type="dxa"/>
            <w:vMerge w:val="restart"/>
            <w:textDirection w:val="lrTb"/>
            <w:noWrap w:val="false"/>
          </w:tcPr>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3"/>
              <w:spacing w:before="68" w:line="22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rPr>
              <w:t xml:space="preserve">重大活动</w:t>
            </w:r>
            <w:r>
              <w:rPr>
                <w:rFonts w:hint="eastAsia" w:asciiTheme="minorEastAsia" w:hAnsiTheme="minorEastAsia" w:eastAsiaTheme="minorEastAsia" w:cstheme="minorEastAsia"/>
                <w:i/>
                <w:iCs/>
                <w:color w:val="auto"/>
                <w:spacing w:val="-1"/>
                <w:sz w:val="24"/>
                <w:szCs w:val="24"/>
                <w:lang w:eastAsia="zh-CN"/>
              </w:rPr>
              <w:t xml:space="preserve">安排</w:t>
            </w:r>
            <w:r/>
          </w:p>
        </w:tc>
        <w:tc>
          <w:tcPr>
            <w:tcW w:w="10020" w:type="dxa"/>
            <w:textDirection w:val="lrTb"/>
            <w:noWrap w:val="false"/>
          </w:tcPr>
          <w:p>
            <w:pPr>
              <w:pStyle w:val="1073"/>
              <w:ind w:right="104"/>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（1）制订流程。配合采购人制订重大活动保洁、绿化的工作流程，需对任务进行详细了解，并根</w:t>
            </w:r>
            <w:r>
              <w:rPr>
                <w:rFonts w:hint="eastAsia" w:asciiTheme="minorEastAsia" w:hAnsiTheme="minorEastAsia" w:eastAsiaTheme="minorEastAsia" w:cstheme="minorEastAsia"/>
                <w:i/>
                <w:iCs/>
                <w:color w:val="auto"/>
                <w:spacing w:val="-1"/>
                <w:sz w:val="24"/>
                <w:szCs w:val="24"/>
                <w:lang w:eastAsia="zh-CN"/>
              </w:rPr>
              <w:t xml:space="preserve">据工作安</w:t>
            </w:r>
            <w:r>
              <w:rPr>
                <w:rFonts w:hint="eastAsia" w:asciiTheme="minorEastAsia" w:hAnsiTheme="minorEastAsia" w:eastAsiaTheme="minorEastAsia" w:cstheme="minorEastAsia"/>
                <w:i/>
                <w:iCs/>
                <w:color w:val="auto"/>
                <w:spacing w:val="-2"/>
                <w:sz w:val="24"/>
                <w:szCs w:val="24"/>
                <w:lang w:eastAsia="zh-CN"/>
              </w:rPr>
              <w:t xml:space="preserve">排制定详细的工作计划。</w:t>
            </w:r>
            <w:r/>
          </w:p>
        </w:tc>
      </w:tr>
      <w:tr>
        <w:trPr>
          <w:trHeight w:val="53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93" w:line="191"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（2）收尾工作。对现场进行彻底的清洁，做好清</w:t>
            </w:r>
            <w:r>
              <w:rPr>
                <w:rFonts w:hint="eastAsia" w:asciiTheme="minorEastAsia" w:hAnsiTheme="minorEastAsia" w:eastAsiaTheme="minorEastAsia" w:cstheme="minorEastAsia"/>
                <w:i/>
                <w:iCs/>
                <w:color w:val="auto"/>
                <w:sz w:val="24"/>
                <w:szCs w:val="24"/>
                <w:lang w:eastAsia="zh-CN"/>
              </w:rPr>
              <w:t xml:space="preserve">理工作。</w:t>
            </w:r>
            <w:r/>
          </w:p>
        </w:tc>
      </w:tr>
      <w:tr>
        <w:trPr>
          <w:trHeight w:val="465"/>
        </w:trPr>
        <w:tc>
          <w:tcPr>
            <w:tcW w:w="1236" w:type="dxa"/>
            <w:vAlign w:val="center"/>
            <w:vMerge w:val="restart"/>
            <w:textDirection w:val="lrTb"/>
            <w:noWrap w:val="false"/>
          </w:tcPr>
          <w:p>
            <w:pPr>
              <w:ind w:left="569"/>
              <w:spacing w:before="136"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7</w:t>
            </w:r>
            <w:r/>
          </w:p>
        </w:tc>
        <w:tc>
          <w:tcPr>
            <w:tcW w:w="3294" w:type="dxa"/>
            <w:vAlign w:val="center"/>
            <w:vMerge w:val="restart"/>
            <w:textDirection w:val="lrTb"/>
            <w:noWrap w:val="false"/>
          </w:tcPr>
          <w:p>
            <w:pPr>
              <w:pStyle w:val="1073"/>
              <w:ind w:left="109"/>
              <w:jc w:val="both"/>
              <w:spacing w:before="94"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1"/>
                <w:sz w:val="24"/>
                <w:szCs w:val="24"/>
              </w:rPr>
              <w:t xml:space="preserve">应急保障预案</w:t>
            </w:r>
            <w:r/>
          </w:p>
        </w:tc>
        <w:tc>
          <w:tcPr>
            <w:tcW w:w="10020" w:type="dxa"/>
            <w:textDirection w:val="lrTb"/>
            <w:noWrap w:val="false"/>
          </w:tcPr>
          <w:p>
            <w:pPr>
              <w:pStyle w:val="1073"/>
              <w:ind w:right="104"/>
              <w:jc w:val="both"/>
              <w:spacing w:before="31" w:line="261"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（1）应急预案的建立。根据办公楼隐患排查的结果和实际情况，制定专项预案，包括但</w:t>
            </w:r>
            <w:r>
              <w:rPr>
                <w:rFonts w:hint="eastAsia" w:asciiTheme="minorEastAsia" w:hAnsiTheme="minorEastAsia" w:eastAsiaTheme="minorEastAsia" w:cstheme="minorEastAsia"/>
                <w:i/>
                <w:iCs/>
                <w:color w:val="auto"/>
                <w:spacing w:val="-1"/>
                <w:sz w:val="24"/>
                <w:szCs w:val="24"/>
                <w:lang w:eastAsia="zh-CN"/>
              </w:rPr>
              <w:t xml:space="preserve">不限于：火情</w:t>
            </w:r>
            <w:r>
              <w:rPr>
                <w:rFonts w:hint="eastAsia" w:asciiTheme="minorEastAsia" w:hAnsiTheme="minorEastAsia" w:eastAsiaTheme="minorEastAsia" w:cstheme="minorEastAsia"/>
                <w:i/>
                <w:iCs/>
                <w:color w:val="auto"/>
                <w:spacing w:val="-2"/>
                <w:sz w:val="24"/>
                <w:szCs w:val="24"/>
                <w:lang w:eastAsia="zh-CN"/>
              </w:rPr>
              <w:t xml:space="preserve">火警紧急处理应急预案、紧急疏散应急预案、停水停电应急预案、有限空间救援应急预案、高空作业救援应</w:t>
            </w:r>
            <w:r>
              <w:rPr>
                <w:rFonts w:hint="eastAsia" w:asciiTheme="minorEastAsia" w:hAnsiTheme="minorEastAsia" w:eastAsiaTheme="minorEastAsia" w:cstheme="minorEastAsia"/>
                <w:i/>
                <w:iCs/>
                <w:color w:val="auto"/>
                <w:spacing w:val="-1"/>
                <w:sz w:val="24"/>
                <w:szCs w:val="24"/>
                <w:lang w:eastAsia="zh-CN"/>
              </w:rPr>
              <w:t xml:space="preserve">急预案、恶劣天气应对应急预案等。</w:t>
            </w:r>
            <w:r/>
          </w:p>
        </w:tc>
      </w:tr>
      <w:tr>
        <w:trPr>
          <w:trHeight w:val="691"/>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ind w:right="104"/>
              <w:spacing w:before="32" w:line="244"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（2）应急预案的培训和演练。应急预案定期培训和演练，组织相关岗位每半年至少开展一次专项</w:t>
            </w:r>
            <w:r>
              <w:rPr>
                <w:rFonts w:hint="eastAsia" w:asciiTheme="minorEastAsia" w:hAnsiTheme="minorEastAsia" w:eastAsiaTheme="minorEastAsia" w:cstheme="minorEastAsia"/>
                <w:i/>
                <w:iCs/>
                <w:color w:val="auto"/>
                <w:spacing w:val="-1"/>
                <w:sz w:val="24"/>
                <w:szCs w:val="24"/>
                <w:lang w:eastAsia="zh-CN"/>
              </w:rPr>
              <w:t xml:space="preserve">应急</w:t>
            </w:r>
            <w:r>
              <w:rPr>
                <w:rFonts w:hint="eastAsia" w:asciiTheme="minorEastAsia" w:hAnsiTheme="minorEastAsia" w:eastAsiaTheme="minorEastAsia" w:cstheme="minorEastAsia"/>
                <w:i/>
                <w:iCs/>
                <w:color w:val="auto"/>
                <w:sz w:val="24"/>
                <w:szCs w:val="24"/>
                <w:lang w:eastAsia="zh-CN"/>
              </w:rPr>
              <w:t xml:space="preserve">预案演练；留存培训及演练记录和影像资料，并对预案进行评价，确保与实际情况</w:t>
            </w:r>
            <w:r>
              <w:rPr>
                <w:rFonts w:hint="eastAsia" w:asciiTheme="minorEastAsia" w:hAnsiTheme="minorEastAsia" w:eastAsiaTheme="minorEastAsia" w:cstheme="minorEastAsia"/>
                <w:i/>
                <w:iCs/>
                <w:color w:val="auto"/>
                <w:spacing w:val="-1"/>
                <w:sz w:val="24"/>
                <w:szCs w:val="24"/>
                <w:lang w:eastAsia="zh-CN"/>
              </w:rPr>
              <w:t xml:space="preserve">相结合。</w:t>
            </w:r>
            <w:r/>
          </w:p>
        </w:tc>
      </w:tr>
      <w:tr>
        <w:trPr>
          <w:trHeight w:val="686"/>
        </w:trPr>
        <w:tc>
          <w:tcPr>
            <w:tcW w:w="1236" w:type="dxa"/>
            <w:vMerge w:val="restart"/>
            <w:textDirection w:val="lrTb"/>
            <w:noWrap w:val="false"/>
          </w:tcPr>
          <w:p>
            <w:pPr>
              <w:jc w:val="center"/>
              <w:spacing w:line="246"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46"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8</w:t>
            </w:r>
            <w:r/>
          </w:p>
        </w:tc>
        <w:tc>
          <w:tcPr>
            <w:tcW w:w="3294" w:type="dxa"/>
            <w:vMerge w:val="restart"/>
            <w:textDirection w:val="lrTb"/>
            <w:noWrap w:val="false"/>
          </w:tcPr>
          <w:p>
            <w:pPr>
              <w:jc w:val="center"/>
              <w:spacing w:line="31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3"/>
              <w:jc w:val="both"/>
              <w:spacing w:before="68" w:line="221" w:lineRule="auto"/>
              <w:rPr>
                <w:rFonts w:asciiTheme="minorEastAsia" w:hAnsiTheme="minorEastAsia" w:eastAsiaTheme="minorEastAsia" w:cstheme="minorEastAsia"/>
                <w:i/>
                <w:iCs/>
                <w:color w:val="auto"/>
                <w:spacing w:val="-1"/>
                <w:sz w:val="24"/>
                <w:szCs w:val="24"/>
              </w:rPr>
            </w:pPr>
            <w:r>
              <w:rPr>
                <w:rFonts w:asciiTheme="minorEastAsia" w:hAnsiTheme="minorEastAsia" w:eastAsiaTheme="minorEastAsia" w:cstheme="minorEastAsia"/>
                <w:i/>
                <w:iCs/>
                <w:color w:val="auto"/>
                <w:spacing w:val="-1"/>
                <w:sz w:val="24"/>
                <w:szCs w:val="24"/>
              </w:rPr>
            </w:r>
            <w:r/>
          </w:p>
          <w:p>
            <w:pPr>
              <w:pStyle w:val="1073"/>
              <w:jc w:val="both"/>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1"/>
                <w:sz w:val="24"/>
                <w:szCs w:val="24"/>
              </w:rPr>
              <w:t xml:space="preserve">服务方案及工作制度</w:t>
            </w:r>
            <w:r/>
          </w:p>
        </w:tc>
        <w:tc>
          <w:tcPr>
            <w:tcW w:w="10020" w:type="dxa"/>
            <w:textDirection w:val="lrTb"/>
            <w:noWrap w:val="false"/>
          </w:tcPr>
          <w:p>
            <w:pPr>
              <w:pStyle w:val="1073"/>
              <w:ind w:right="104"/>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（1）制定工作制度，主要包括：人员录用制度、档案管理制度、保洁服务管理制度、</w:t>
            </w:r>
            <w:r>
              <w:rPr>
                <w:rFonts w:hint="eastAsia" w:asciiTheme="minorEastAsia" w:hAnsiTheme="minorEastAsia" w:eastAsiaTheme="minorEastAsia" w:cstheme="minorEastAsia"/>
                <w:i/>
                <w:iCs/>
                <w:color w:val="auto"/>
                <w:spacing w:val="-1"/>
                <w:sz w:val="24"/>
                <w:szCs w:val="24"/>
                <w:lang w:eastAsia="zh-CN"/>
              </w:rPr>
              <w:t xml:space="preserve">绿化养护服务管理制度</w:t>
            </w:r>
            <w:r>
              <w:rPr>
                <w:rFonts w:hint="eastAsia" w:asciiTheme="minorEastAsia" w:hAnsiTheme="minorEastAsia" w:eastAsiaTheme="minorEastAsia" w:cstheme="minorEastAsia"/>
                <w:i/>
                <w:iCs/>
                <w:color w:val="auto"/>
                <w:spacing w:val="-2"/>
                <w:sz w:val="24"/>
                <w:szCs w:val="24"/>
                <w:lang w:eastAsia="zh-CN"/>
              </w:rPr>
              <w:t xml:space="preserve">等。</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spacing w:before="89" w:line="191"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（2）制定项目实施方案，主要包括：交接方案、人员培训方案、人员稳定性方案、</w:t>
            </w:r>
            <w:r>
              <w:rPr>
                <w:rFonts w:hint="eastAsia" w:asciiTheme="minorEastAsia" w:hAnsiTheme="minorEastAsia" w:eastAsiaTheme="minorEastAsia" w:cstheme="minorEastAsia"/>
                <w:i/>
                <w:iCs/>
                <w:color w:val="auto"/>
                <w:sz w:val="24"/>
                <w:szCs w:val="24"/>
                <w:lang w:eastAsia="zh-CN"/>
              </w:rPr>
              <w:t xml:space="preserve">保密方案等。</w:t>
            </w:r>
            <w:r/>
          </w:p>
        </w:tc>
      </w:tr>
      <w:tr>
        <w:trPr>
          <w:trHeight w:val="686"/>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3"/>
              <w:ind w:right="30"/>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3"/>
                <w:sz w:val="24"/>
                <w:szCs w:val="24"/>
                <w:lang w:eastAsia="zh-CN"/>
              </w:rPr>
              <w:t xml:space="preserve">（3）制定项目服务方案，主要包括：绿化养护服务方案、</w:t>
            </w:r>
            <w:r>
              <w:rPr>
                <w:rFonts w:hint="eastAsia" w:asciiTheme="minorEastAsia" w:hAnsiTheme="minorEastAsia" w:eastAsiaTheme="minorEastAsia" w:cstheme="minorEastAsia"/>
                <w:i/>
                <w:iCs/>
                <w:color w:val="auto"/>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保洁服务方案。</w:t>
            </w:r>
            <w:r/>
          </w:p>
        </w:tc>
      </w:tr>
    </w:tbl>
    <w:p>
      <w:pPr>
        <w:pStyle w:val="775"/>
        <w:ind w:left="420" w:firstLine="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3.2保洁服务</w:t>
      </w:r>
      <w:r/>
    </w:p>
    <w:tbl>
      <w:tblPr>
        <w:tblStyle w:val="740"/>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54"/>
        <w:gridCol w:w="3141"/>
        <w:gridCol w:w="9499"/>
      </w:tblGrid>
      <w:tr>
        <w:trPr>
          <w:jc w:val="center"/>
          <w:tblCellSpacing w:w="0" w:type="dxa"/>
          <w:trHeight w:val="455"/>
        </w:trPr>
        <w:tc>
          <w:tcPr>
            <w:shd w:val="clear" w:color="auto" w:fill="auto"/>
            <w:tcMar>
              <w:left w:w="108" w:type="dxa"/>
              <w:right w:w="108" w:type="dxa"/>
            </w:tcMar>
            <w:tcW w:w="1554" w:type="dxa"/>
            <w:vAlign w:val="center"/>
            <w:textDirection w:val="lrTb"/>
            <w:noWrap w:val="false"/>
          </w:tcPr>
          <w:p>
            <w:pPr>
              <w:pStyle w:val="764"/>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序号</w:t>
            </w:r>
            <w:r/>
          </w:p>
        </w:tc>
        <w:tc>
          <w:tcPr>
            <w:shd w:val="clear" w:color="auto" w:fill="auto"/>
            <w:tcMar>
              <w:left w:w="108" w:type="dxa"/>
              <w:right w:w="108" w:type="dxa"/>
            </w:tcMar>
            <w:tcW w:w="3141" w:type="dxa"/>
            <w:vAlign w:val="center"/>
            <w:textDirection w:val="lrTb"/>
            <w:noWrap w:val="false"/>
          </w:tcPr>
          <w:p>
            <w:pPr>
              <w:pStyle w:val="764"/>
              <w:ind w:left="107"/>
              <w:jc w:val="center"/>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服务内容</w:t>
            </w:r>
            <w:r/>
          </w:p>
        </w:tc>
        <w:tc>
          <w:tcPr>
            <w:shd w:val="clear" w:color="auto" w:fill="auto"/>
            <w:tcMar>
              <w:left w:w="108" w:type="dxa"/>
              <w:right w:w="108" w:type="dxa"/>
            </w:tcMar>
            <w:tcW w:w="9499" w:type="dxa"/>
            <w:vAlign w:val="center"/>
            <w:textDirection w:val="lrTb"/>
            <w:noWrap w:val="false"/>
          </w:tcPr>
          <w:p>
            <w:pPr>
              <w:pStyle w:val="764"/>
              <w:jc w:val="center"/>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服务标准</w:t>
            </w:r>
            <w:r/>
          </w:p>
        </w:tc>
      </w:tr>
      <w:tr>
        <w:trPr>
          <w:jc w:val="center"/>
          <w:tblCellSpacing w:w="0" w:type="dxa"/>
          <w:trHeight w:val="375"/>
        </w:trPr>
        <w:tc>
          <w:tcPr>
            <w:shd w:val="clear" w:color="auto" w:fill="auto"/>
            <w:tcMar>
              <w:left w:w="108" w:type="dxa"/>
              <w:right w:w="108" w:type="dxa"/>
            </w:tcMar>
            <w:tcW w:w="1554" w:type="dxa"/>
            <w:vAlign w:val="center"/>
            <w:vMerge w:val="restart"/>
            <w:textDirection w:val="lrTb"/>
            <w:noWrap w:val="false"/>
          </w:tcPr>
          <w:p>
            <w:pPr>
              <w:pStyle w:val="764"/>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shd w:val="clear" w:color="auto" w:fill="auto"/>
            <w:tcMar>
              <w:left w:w="108" w:type="dxa"/>
              <w:right w:w="108" w:type="dxa"/>
            </w:tcMar>
            <w:tcW w:w="3141" w:type="dxa"/>
            <w:vAlign w:val="center"/>
            <w:vMerge w:val="restart"/>
            <w:textDirection w:val="lrTb"/>
            <w:noWrap w:val="false"/>
          </w:tcPr>
          <w:p>
            <w:pPr>
              <w:pStyle w:val="764"/>
              <w:ind w:left="107" w:firstLine="960"/>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基本要求</w:t>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1.建立保洁服务的工作制度及工作计划，并按照执行。</w:t>
            </w:r>
            <w:r/>
          </w:p>
        </w:tc>
      </w:tr>
      <w:tr>
        <w:trPr>
          <w:jc w:val="center"/>
          <w:tblCellSpacing w:w="0" w:type="dxa"/>
          <w:trHeight w:val="364"/>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2.做好保洁服务工作记录，记录填写规范、保存完好。</w:t>
            </w:r>
            <w:r/>
          </w:p>
        </w:tc>
      </w:tr>
      <w:tr>
        <w:trPr>
          <w:jc w:val="center"/>
          <w:tblCellSpacing w:w="0" w:type="dxa"/>
          <w:trHeight w:val="45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 w:beforeAutospacing="0" w:afterAutospacing="0"/>
              <w:tabs>
                <w:tab w:val="left" w:pos="59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3.作业时采取安全防护措施，防止对作业人员或他人造成伤害。相关耗材的环保、安全性等应当符合国家相关规定要求。</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4.进入保密区域时，有采购人相关人员全程在场。</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5.为预防各类传染性疾病的传播，定期做好服务范围内的消杀、“除四害”工作，做到服务区内无蚊虫、无鼠害。</w:t>
            </w:r>
            <w:r/>
          </w:p>
        </w:tc>
      </w:tr>
      <w:tr>
        <w:trPr>
          <w:jc w:val="center"/>
          <w:tblCellSpacing w:w="0" w:type="dxa"/>
          <w:trHeight w:val="385"/>
        </w:trPr>
        <w:tc>
          <w:tcPr>
            <w:shd w:val="clear" w:color="auto" w:fill="auto"/>
            <w:tcMar>
              <w:left w:w="108" w:type="dxa"/>
              <w:right w:w="108" w:type="dxa"/>
            </w:tcMar>
            <w:tcW w:w="1554" w:type="dxa"/>
            <w:vAlign w:val="center"/>
            <w:vMerge w:val="restart"/>
            <w:textDirection w:val="lrTb"/>
            <w:noWrap w:val="false"/>
          </w:tcPr>
          <w:p>
            <w:pPr>
              <w:pStyle w:val="764"/>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shd w:val="clear" w:color="auto" w:fill="auto"/>
            <w:tcMar>
              <w:left w:w="108" w:type="dxa"/>
              <w:right w:w="108" w:type="dxa"/>
            </w:tcMar>
            <w:tcW w:w="3141" w:type="dxa"/>
            <w:vAlign w:val="center"/>
            <w:vMerge w:val="restart"/>
            <w:textDirection w:val="lrTb"/>
            <w:noWrap w:val="false"/>
          </w:tcPr>
          <w:p>
            <w:pPr>
              <w:pStyle w:val="764"/>
              <w:ind w:left="107"/>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大厅、楼内公共区域保洁</w:t>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1.地面保持干净，无异味、无杂物、无积水，门楣、门套、墙面、墙角无水渍、无污渍、无垃圾、无积尘、无乱悬挂、无乱张贴等现象；每日至少开展 2 次清洁作业，且巡回保洁，首次作业在工作日8：30之前完成。每月至少彻底清洗两次，平时发现污渍及时处理。大厅的地面每日至少拖地2次，推尘3次。</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2.门窗玻璃及玻璃隔断上无手印，无积尘，无污渍、明亮，顶棚目视无灰尘、无蛛网；每周至少开展 1 次清洁作业。</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3.消火栓、指示牌、信报箱，隔天至少擦抹1次，保持干净无灰尘、无污迹。</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4.楼梯及楼梯间保持干净、无异味、无杂物、无积水、无灰尘，无乱贴乱画，无擅自占用现象，每日至少开展 1次清洁作业。楼梯间墙面每周至少除尘一次。巡回保洁，发现及时清理。</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5.电梯轿厢保持干净，无污渍、无粘贴物、无异味，巡回保洁、适时清扫，每天至少拖洗2次，每天洗擦2次电梯内墙面和地面。轿箱顶部每周至少清洁1次。灯具、操作指示板明亮无尘。</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6.作业工具间：①保持干净，无异味、无杂物、无积水，每日至少开展 1 次清洁作业。②作业工具摆放整齐有序，表面干净无渍，每日消毒。</w:t>
            </w:r>
            <w:r/>
          </w:p>
        </w:tc>
      </w:tr>
      <w:tr>
        <w:trPr>
          <w:jc w:val="center"/>
          <w:tblCellSpacing w:w="0" w:type="dxa"/>
          <w:trHeight w:val="668"/>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7.配合做好夏季防洪抗台工作，冬季做好门厅、台阶、楼道等人流密集区的及时清扫冰冻、积雪和防滑工作。</w:t>
            </w:r>
            <w:r/>
          </w:p>
        </w:tc>
      </w:tr>
      <w:tr>
        <w:trPr>
          <w:jc w:val="center"/>
          <w:tblCellSpacing w:w="0" w:type="dxa"/>
          <w:trHeight w:val="121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8.天花板、空调风口、公共灯具、多媒体等设施设备，每周至少除尘一次，天花板、空调风口、灯盖、灯罩、灯座目视无灰尘、无污迹、无蜘蛛网。</w:t>
            </w:r>
            <w:r/>
          </w:p>
        </w:tc>
      </w:tr>
      <w:tr>
        <w:trPr>
          <w:jc w:val="center"/>
          <w:tblCellSpacing w:w="0" w:type="dxa"/>
          <w:trHeight w:val="17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9.楼梯扶手、栏杆、窗台、开关，每天至少擦抹一次，保持扶手护栏干净、无灰尘，巡回保洁。清洁要保持原有的光泽和干净的外观，必须防止沉渍、污物的形成。可用不锈钢或金属专用的清洁剂或肥皂，加以适量清水将表面尘埃和污渍除去，再以抹布抹干，以使其表面保持光泽。</w:t>
            </w:r>
            <w:r/>
          </w:p>
        </w:tc>
      </w:tr>
      <w:tr>
        <w:trPr>
          <w:jc w:val="center"/>
          <w:tblCellSpacing w:w="0" w:type="dxa"/>
          <w:trHeight w:val="17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10.室内干挂花岗岩墙面、铝板墙面，每日至少1次清洁工作，无灰尘、无粘附物，无明显污迹，保持清洁。</w:t>
            </w:r>
            <w:r/>
          </w:p>
        </w:tc>
      </w:tr>
      <w:tr>
        <w:trPr>
          <w:jc w:val="center"/>
          <w:tblCellSpacing w:w="0" w:type="dxa"/>
          <w:trHeight w:val="17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11.地毯，非会议期间每周用吸尘器进行吸尘次数不少于2次，可视污染程度进行局部吸尘，每季度专业清洗1次。</w:t>
            </w:r>
            <w:r/>
          </w:p>
        </w:tc>
      </w:tr>
      <w:tr>
        <w:trPr>
          <w:jc w:val="center"/>
          <w:tblCellSpacing w:w="0" w:type="dxa"/>
          <w:trHeight w:val="526"/>
        </w:trPr>
        <w:tc>
          <w:tcPr>
            <w:shd w:val="clear" w:color="auto" w:fill="auto"/>
            <w:tcMar>
              <w:left w:w="108" w:type="dxa"/>
              <w:right w:w="108" w:type="dxa"/>
            </w:tcMar>
            <w:tcW w:w="1554" w:type="dxa"/>
            <w:vAlign w:val="center"/>
            <w:vMerge w:val="restart"/>
            <w:textDirection w:val="lrTb"/>
            <w:noWrap w:val="false"/>
          </w:tcPr>
          <w:p>
            <w:pPr>
              <w:pStyle w:val="764"/>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w:t>
            </w:r>
            <w:r/>
          </w:p>
        </w:tc>
        <w:tc>
          <w:tcPr>
            <w:shd w:val="clear" w:color="auto" w:fill="auto"/>
            <w:tcMar>
              <w:left w:w="108" w:type="dxa"/>
              <w:right w:w="108" w:type="dxa"/>
            </w:tcMar>
            <w:tcW w:w="3141" w:type="dxa"/>
            <w:vAlign w:val="center"/>
            <w:vMerge w:val="restart"/>
            <w:textDirection w:val="lrTb"/>
            <w:noWrap w:val="false"/>
          </w:tcPr>
          <w:p>
            <w:pPr>
              <w:pStyle w:val="764"/>
              <w:ind w:left="107"/>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公共卫生间</w:t>
            </w:r>
            <w:r/>
          </w:p>
          <w:p>
            <w:pPr>
              <w:pStyle w:val="764"/>
              <w:ind w:left="107"/>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保洁</w:t>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1.范围：地面、墙面、顶棚、门窗、窗台、玻璃、灯具及开关、镜面、洗手盆、台面、便具、垃圾篓、标志牌、排气扇、上下水管道、开水器等。</w:t>
            </w:r>
            <w:r/>
          </w:p>
        </w:tc>
      </w:tr>
      <w:tr>
        <w:trPr>
          <w:jc w:val="center"/>
          <w:tblCellSpacing w:w="0" w:type="dxa"/>
          <w:trHeight w:val="526"/>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2.作业频率：每天四次全面保洁，且巡回保洁；天棚、灯具、窗玻璃、排气扇每月保洁1次。</w:t>
            </w:r>
            <w:r/>
          </w:p>
        </w:tc>
      </w:tr>
      <w:tr>
        <w:trPr>
          <w:jc w:val="center"/>
          <w:tblCellSpacing w:w="0" w:type="dxa"/>
          <w:trHeight w:val="90"/>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3.区域无蚊虫，地面无积水、无污渍、无垃圾、无积尘，光亮，每日早、晚各1次用地面清洗剂进行清洗。日常随时用干、湿两把拖布交</w:t>
            </w:r>
            <w:r>
              <w:rPr>
                <w:rFonts w:hint="eastAsia" w:asciiTheme="minorEastAsia" w:hAnsiTheme="minorEastAsia" w:eastAsiaTheme="minorEastAsia" w:cstheme="minorEastAsia"/>
                <w:i/>
                <w:iCs/>
                <w:sz w:val="24"/>
                <w:szCs w:val="24"/>
              </w:rPr>
              <w:t xml:space="preserve">替擦拭以防止出现脚印及污迹；墙面无灰尘、无乱悬挂、无乱张贴等现象；顶棚目视无灰尘、无蛛网；玻璃表面无手印、无积尘、无污渍，明亮；不锈钢表面无手印，无积尘、无污渍，光亮洁净，每日2次用不锈钢光亮剂或桐油清洗养护；垃圾桶及时清运，并保持垃圾桶周围区域干净整洁，空气流通无异味；便具洁净无黄渍、无便迹、无水垢、无异味，所有下水通道保持畅通无阻，每日2次用洁厕灵进行清洗；垃圾篓随时清理；镜面、洗手盆、台面无污点，光亮，每日1次用洁而亮进行清洗擦拭；保洁工具与用品要统一放在指定地点；其他设施表面无积尘、无污渍、无损坏。</w:t>
            </w:r>
            <w:r>
              <w:rPr>
                <w:rFonts w:hint="eastAsia" w:asciiTheme="minorEastAsia" w:hAnsiTheme="minorEastAsia" w:eastAsiaTheme="minorEastAsia" w:cstheme="minorEastAsia"/>
                <w:i/>
                <w:iCs/>
                <w:color w:val="ff0000"/>
                <w:sz w:val="24"/>
                <w:szCs w:val="24"/>
              </w:rPr>
              <w:t xml:space="preserve">提供合格的知名品牌洗手液和卫生纸、擦手纸（必须整瓶装及整卷，不允许使用散装零拷添加品）</w:t>
            </w:r>
            <w:r>
              <w:rPr>
                <w:rFonts w:hint="eastAsia" w:asciiTheme="minorEastAsia" w:hAnsiTheme="minorEastAsia" w:eastAsiaTheme="minorEastAsia" w:cstheme="minorEastAsia"/>
                <w:i/>
                <w:iCs/>
                <w:sz w:val="24"/>
                <w:szCs w:val="24"/>
              </w:rPr>
              <w:t xml:space="preserve">，加强巡视，用毕及时添置。</w:t>
            </w:r>
            <w:r/>
          </w:p>
        </w:tc>
      </w:tr>
      <w:tr>
        <w:trPr>
          <w:jc w:val="center"/>
          <w:tblCellSpacing w:w="0" w:type="dxa"/>
          <w:trHeight w:val="423"/>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4.水盆、便器定期酸洗，每周至少消毒一次。</w:t>
            </w:r>
            <w:r/>
          </w:p>
        </w:tc>
      </w:tr>
      <w:tr>
        <w:trPr>
          <w:jc w:val="center"/>
          <w:tblCellSpacing w:w="0" w:type="dxa"/>
          <w:trHeight w:val="387"/>
        </w:trPr>
        <w:tc>
          <w:tcPr>
            <w:shd w:val="clear" w:color="auto" w:fill="auto"/>
            <w:tcMar>
              <w:left w:w="108" w:type="dxa"/>
              <w:right w:w="108" w:type="dxa"/>
            </w:tcMar>
            <w:tcW w:w="1554" w:type="dxa"/>
            <w:vAlign w:val="center"/>
            <w:vMerge w:val="restart"/>
            <w:textDirection w:val="lrTb"/>
            <w:noWrap w:val="false"/>
          </w:tcPr>
          <w:p>
            <w:pPr>
              <w:pStyle w:val="764"/>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4</w:t>
            </w:r>
            <w:r/>
          </w:p>
        </w:tc>
        <w:tc>
          <w:tcPr>
            <w:shd w:val="clear" w:color="auto" w:fill="auto"/>
            <w:tcMar>
              <w:left w:w="108" w:type="dxa"/>
              <w:right w:w="108" w:type="dxa"/>
            </w:tcMar>
            <w:tcW w:w="3141" w:type="dxa"/>
            <w:vAlign w:val="center"/>
            <w:vMerge w:val="restart"/>
            <w:textDirection w:val="lrTb"/>
            <w:noWrap w:val="false"/>
          </w:tcPr>
          <w:p>
            <w:pPr>
              <w:pStyle w:val="764"/>
              <w:ind w:left="107"/>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地上停车场、地下停车场及室外公共区域保洁</w:t>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1.道路保洁作业频率：每天清扫保洁至少3次，工作日8：30前完成各大楼前及室外主要道路清扫，9:00前完成所有道路清扫，日间巡回保洁。每日早、中、晚三次将垃圾桶（箱）内垃圾集中清运至垃圾房，做到日产日清；重大活动期间实施道路冲洗保湿；遇大雪或暴雪时及时组织人员清扫。</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2.保持道路全天整洁干净，达到“九无”(无果皮、无纸屑、无塑膜、无痰迹、无污水、无暴露垃圾、无烟头、无乱张贴、路牙无泥沙)，“四净”(路面净、果皮箱净、树穴绿化带净、各楼停车场净)，“一通”(下水道口通)；雨雪天气时，保证路面不积水、少结冰（中、大雪以上保证主道路畅通）；科学喷洒，有效融雪，雪停后立即组织人员清理积雪，不得将含有盐、融雪剂等化学制剂的积雪倒入绿化带；除冬季以外的三个季节，根据情况分时段进行洒水除尘。</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3.门前广场、绿化带、地上、地下停车场及其他硬质地面保洁作业频率：每天上班前完成各大楼前及广场保洁工作，随后接着完成其他保洁，且巡回保洁。垃圾做到日产日清，果皮箱、垃圾桶内垃圾不得超过70%，每天至少清理一次，并至少抹洗一次；重大活动期间实施广场冲洗保湿；如遇重大节庆、活动配合采购方安排组织清洗；遇大雪或暴雪时组织相关人员清扫。</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4.宣传栏、室外标识、路灯（杆）、楼前灯、景观灯：无灰尘、无污痕、无破损、无黏贴。管理部门的横幅、展板、广告牌、LED显示屏等必须经采购管理部门批准方可悬挂。对已布置的横幅、展板、临时指示牌、广告牌等，应跟踪后续事宜，到期后应及时进行拆除或联系悬挂单位进行拆除。</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5.绿地、明沟、管道疏通：每天循环保洁，发现垃圾杂物及时清除，垃圾滞留地面不超过半小时，明沟每月至少一次清捞杂物淤泥，各类管道疏通。每月至少对窨井、明沟、垃圾箱等喷洒药水一次，春夏季（4月、5月、6月、7月、8月）每月至少灭鼠一次，其余每季灭害一次。</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6.喷水池：每周至少3次对喷水池杂物打捞，保持水体清洁；定期对水体投放药剂或进行其他处理，保持水体无异味。每3个月利用有关设施进行水体更新。</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595"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7.屋顶平台：每周至少清扫一次，重点保证雨水口畅通，下雨前增加清理一次，排水沟每月至少一次清捞杂物淤泥。</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595"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8.设备房：每周至少一次对设备房内进行保洁。</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595"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9.河道：确保专人清洁，河面无垃圾、漂浮物。</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3" w:beforeAutospacing="0" w:afterAutospacing="0"/>
              <w:tabs>
                <w:tab w:val="left" w:pos="595"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10.做好夏季防洪抗台工作，冬季做好室外公共区域的防冻防滑和及时清扫工作。</w:t>
            </w:r>
            <w:r/>
          </w:p>
        </w:tc>
      </w:tr>
      <w:tr>
        <w:trPr>
          <w:jc w:val="center"/>
          <w:tblCellSpacing w:w="0" w:type="dxa"/>
          <w:trHeight w:val="387"/>
        </w:trPr>
        <w:tc>
          <w:tcPr>
            <w:shd w:val="clear" w:color="auto" w:fill="auto"/>
            <w:tcMar>
              <w:left w:w="108" w:type="dxa"/>
              <w:right w:w="108" w:type="dxa"/>
            </w:tcMar>
            <w:tcW w:w="1554" w:type="dxa"/>
            <w:vAlign w:val="center"/>
            <w:vMerge w:val="restart"/>
            <w:textDirection w:val="lrTb"/>
            <w:noWrap w:val="false"/>
          </w:tcPr>
          <w:p>
            <w:pPr>
              <w:pStyle w:val="764"/>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5</w:t>
            </w:r>
            <w:r/>
          </w:p>
        </w:tc>
        <w:tc>
          <w:tcPr>
            <w:shd w:val="clear" w:color="auto" w:fill="auto"/>
            <w:tcMar>
              <w:left w:w="108" w:type="dxa"/>
              <w:right w:w="108" w:type="dxa"/>
            </w:tcMar>
            <w:tcW w:w="3141" w:type="dxa"/>
            <w:vAlign w:val="center"/>
            <w:vMerge w:val="restart"/>
            <w:textDirection w:val="lrTb"/>
            <w:noWrap w:val="false"/>
          </w:tcPr>
          <w:p>
            <w:pPr>
              <w:pStyle w:val="764"/>
              <w:ind w:firstLine="480"/>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专项清洁服务</w:t>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1.车棚：每天保洁1次，墙面、地面要无蛛网、无积灰、无垃圾、无积水；消防设施、门楣无积灰。</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pStyle w:val="764"/>
              <w:ind w:left="10"/>
              <w:jc w:val="center"/>
              <w:spacing w:before="66" w:beforeAutospacing="0" w:afterAutospacing="0"/>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shd w:val="clear" w:color="auto" w:fill="auto"/>
            <w:tcMar>
              <w:left w:w="108" w:type="dxa"/>
              <w:right w:w="108" w:type="dxa"/>
            </w:tcMar>
            <w:tcW w:w="3141" w:type="dxa"/>
            <w:vAlign w:val="center"/>
            <w:vMerge w:val="continue"/>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2.各类场所地毯清洗、地板专业打蜡养护工作每季度实施1次，特殊情况增加频次。门前雨棚、车库玻璃顶棚、喷泉池每季度清洗一次。</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上人屋面：上人屋面保洁标准同“地上停车场、地下停车场及室外公共区域保洁”中硬质地面保洁要求，其他屋面及雨棚顶面要求无垃圾堆积，房檐无悬挂物，落水管口清洁、畅通；建筑物外墙无污损、小广告，保洁工作每月一次，且巡回保洁。</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4.做好所有楼宇排水沟、排污井、明暗沟部及屋面、雨棚等的检查清理，雨季应提高清洁频率，保证各种排水设施不因垃圾而堵塞。</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jc w:val="left"/>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5.大厅石材日常维护管理服务标准：</w:t>
            </w:r>
            <w:r/>
          </w:p>
          <w:p>
            <w:pPr>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rPr>
              <w:t xml:space="preserve">（1）主楼、会议中心首层大厅、2层公共区域每月必须进行一次全面的镜面处理专业养护工作，并且在日常养护时要：</w:t>
            </w:r>
            <w:r>
              <w:rPr>
                <w:rFonts w:hint="eastAsia" w:asciiTheme="minorEastAsia" w:hAnsiTheme="minorEastAsia" w:eastAsiaTheme="minorEastAsia" w:cstheme="minorEastAsia"/>
                <w:i/>
                <w:iCs/>
                <w:sz w:val="24"/>
                <w:szCs w:val="24"/>
              </w:rPr>
              <w:fldChar w:fldCharType="begin"/>
            </w:r>
            <w:r>
              <w:rPr>
                <w:rFonts w:hint="eastAsia" w:asciiTheme="minorEastAsia" w:hAnsiTheme="minorEastAsia" w:eastAsiaTheme="minorEastAsia" w:cstheme="minorEastAsia"/>
                <w:i/>
                <w:iCs/>
                <w:sz w:val="24"/>
                <w:szCs w:val="24"/>
              </w:rPr>
              <w:instrText xml:space="preserve"> = 1 \* GB3 </w:instrText>
            </w:r>
            <w:r>
              <w:rPr>
                <w:rFonts w:hint="eastAsia" w:asciiTheme="minorEastAsia" w:hAnsiTheme="minorEastAsia" w:eastAsiaTheme="minorEastAsia" w:cstheme="minorEastAsia"/>
                <w:i/>
                <w:iCs/>
                <w:sz w:val="24"/>
                <w:szCs w:val="24"/>
              </w:rPr>
              <w:fldChar w:fldCharType="separate"/>
            </w:r>
            <w:r>
              <w:rPr>
                <w:rFonts w:hint="eastAsia" w:asciiTheme="minorEastAsia" w:hAnsiTheme="minorEastAsia" w:eastAsiaTheme="minorEastAsia" w:cstheme="minorEastAsia"/>
                <w:i/>
                <w:iCs/>
                <w:sz w:val="24"/>
                <w:szCs w:val="24"/>
              </w:rPr>
              <w:t xml:space="preserve">①</w:t>
            </w:r>
            <w:r>
              <w:rPr>
                <w:rFonts w:hint="eastAsia" w:asciiTheme="minorEastAsia" w:hAnsiTheme="minorEastAsia" w:eastAsiaTheme="minorEastAsia" w:cstheme="minorEastAsia"/>
                <w:i/>
                <w:iCs/>
                <w:sz w:val="24"/>
                <w:szCs w:val="24"/>
              </w:rPr>
              <w:fldChar w:fldCharType="end"/>
            </w:r>
            <w:r>
              <w:rPr>
                <w:rFonts w:hint="eastAsia" w:asciiTheme="minorEastAsia" w:hAnsiTheme="minorEastAsia" w:eastAsiaTheme="minorEastAsia" w:cstheme="minorEastAsia"/>
                <w:i/>
                <w:iCs/>
                <w:sz w:val="24"/>
                <w:szCs w:val="24"/>
              </w:rPr>
              <w:t xml:space="preserve">用干净尘推喷洒适量静电吸尘剂循环推地，遇有水或果汁等液体时用干毛巾擦掉，遇有粘性物附于地上时则用小铲刀予以清除。</w:t>
            </w:r>
            <w:r>
              <w:rPr>
                <w:rFonts w:hint="eastAsia" w:asciiTheme="minorEastAsia" w:hAnsiTheme="minorEastAsia" w:eastAsiaTheme="minorEastAsia" w:cstheme="minorEastAsia"/>
                <w:i/>
                <w:iCs/>
                <w:sz w:val="24"/>
                <w:szCs w:val="24"/>
              </w:rPr>
              <w:fldChar w:fldCharType="begin"/>
            </w:r>
            <w:r>
              <w:rPr>
                <w:rFonts w:hint="eastAsia" w:asciiTheme="minorEastAsia" w:hAnsiTheme="minorEastAsia" w:eastAsiaTheme="minorEastAsia" w:cstheme="minorEastAsia"/>
                <w:i/>
                <w:iCs/>
                <w:sz w:val="24"/>
                <w:szCs w:val="24"/>
              </w:rPr>
              <w:instrText xml:space="preserve"> = 2 \* GB3 </w:instrText>
            </w:r>
            <w:r>
              <w:rPr>
                <w:rFonts w:hint="eastAsia" w:asciiTheme="minorEastAsia" w:hAnsiTheme="minorEastAsia" w:eastAsiaTheme="minorEastAsia" w:cstheme="minorEastAsia"/>
                <w:i/>
                <w:iCs/>
                <w:sz w:val="24"/>
                <w:szCs w:val="24"/>
              </w:rPr>
              <w:fldChar w:fldCharType="separate"/>
            </w:r>
            <w:r>
              <w:rPr>
                <w:rFonts w:hint="eastAsia" w:asciiTheme="minorEastAsia" w:hAnsiTheme="minorEastAsia" w:eastAsiaTheme="minorEastAsia" w:cstheme="minorEastAsia"/>
                <w:i/>
                <w:iCs/>
                <w:sz w:val="24"/>
                <w:szCs w:val="24"/>
              </w:rPr>
              <w:t xml:space="preserve">②</w:t>
            </w:r>
            <w:r>
              <w:rPr>
                <w:rFonts w:hint="eastAsia" w:asciiTheme="minorEastAsia" w:hAnsiTheme="minorEastAsia" w:eastAsiaTheme="minorEastAsia" w:cstheme="minorEastAsia"/>
                <w:i/>
                <w:iCs/>
                <w:sz w:val="24"/>
                <w:szCs w:val="24"/>
              </w:rPr>
              <w:fldChar w:fldCharType="end"/>
            </w:r>
            <w:r>
              <w:rPr>
                <w:rFonts w:hint="eastAsia" w:asciiTheme="minorEastAsia" w:hAnsiTheme="minorEastAsia" w:eastAsiaTheme="minorEastAsia" w:cstheme="minorEastAsia"/>
                <w:i/>
                <w:iCs/>
                <w:sz w:val="24"/>
                <w:szCs w:val="24"/>
              </w:rPr>
              <w:t xml:space="preserve">发现有颜色的液体（如茶汁、可乐、咖啡、果汁等）必须及时擦掉，以免时间过长影响地</w:t>
            </w:r>
            <w:r>
              <w:rPr>
                <w:rFonts w:hint="eastAsia" w:asciiTheme="minorEastAsia" w:hAnsiTheme="minorEastAsia" w:eastAsiaTheme="minorEastAsia" w:cstheme="minorEastAsia"/>
                <w:i/>
                <w:iCs/>
                <w:sz w:val="24"/>
                <w:szCs w:val="24"/>
                <w:lang w:bidi="ar"/>
              </w:rPr>
              <w:t xml:space="preserve">面光泽。③确保石材地面光亮、洁净、光泽度好，地面布蜡均匀、无污渍。</w:t>
            </w:r>
            <w:r/>
          </w:p>
          <w:p>
            <w:pPr>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（2）保持地面石材完好、光亮、整洁。</w:t>
            </w:r>
            <w:r/>
          </w:p>
          <w:p>
            <w:pPr>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（3）每月必须进行一次全面的专业镜面处理，全年不得低于四次。</w:t>
            </w:r>
            <w:r/>
          </w:p>
          <w:p>
            <w:pPr>
              <w:pStyle w:val="764"/>
              <w:jc w:val="both"/>
              <w:spacing w:before="61" w:beforeAutospacing="0" w:afterAutospacing="0"/>
              <w:tabs>
                <w:tab w:val="left" w:pos="612"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（4）专业养护必须由专业公司实施，污损严重时进行专业翻新处理。</w:t>
            </w:r>
            <w:r/>
          </w:p>
        </w:tc>
      </w:tr>
      <w:tr>
        <w:trPr>
          <w:jc w:val="center"/>
          <w:tblCellSpacing w:w="0" w:type="dxa"/>
          <w:trHeight w:val="387"/>
        </w:trPr>
        <w:tc>
          <w:tcPr>
            <w:shd w:val="clear" w:color="auto" w:fill="auto"/>
            <w:tcMar>
              <w:left w:w="108" w:type="dxa"/>
              <w:right w:w="108" w:type="dxa"/>
            </w:tcMar>
            <w:tcW w:w="1554" w:type="dxa"/>
            <w:vAlign w:val="center"/>
            <w:vMerge w:val="restart"/>
            <w:textDirection w:val="lrTb"/>
            <w:noWrap w:val="false"/>
          </w:tcPr>
          <w:p>
            <w:pPr>
              <w:ind w:firstLine="48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6</w:t>
            </w:r>
            <w:r/>
          </w:p>
        </w:tc>
        <w:tc>
          <w:tcPr>
            <w:shd w:val="clear" w:color="auto" w:fill="auto"/>
            <w:tcMar>
              <w:left w:w="108" w:type="dxa"/>
              <w:right w:w="108" w:type="dxa"/>
            </w:tcMar>
            <w:tcW w:w="3141"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垃圾处理</w:t>
            </w:r>
            <w:r/>
          </w:p>
        </w:tc>
        <w:tc>
          <w:tcPr>
            <w:shd w:val="clear" w:color="auto" w:fill="auto"/>
            <w:tcMar>
              <w:left w:w="108" w:type="dxa"/>
              <w:right w:w="108" w:type="dxa"/>
            </w:tcMar>
            <w:tcW w:w="9499" w:type="dxa"/>
            <w:textDirection w:val="lrTb"/>
            <w:noWrap w:val="false"/>
          </w:tcPr>
          <w:p>
            <w:pPr>
              <w:pStyle w:val="1073"/>
              <w:spacing w:before="93"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1.桶身表面干净无污渍，每日开展至少 1 次清洁作业。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3"/>
              <w:spacing w:before="93"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2.垃圾中转房保持整洁，无明显异味，每日至少开展 1 次清洁作业。做好楼宇垃圾中转点至垃圾站的垃圾转运，垃圾转运必须使用专用车辆，避免造成环境的二次污染。</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3"/>
              <w:spacing w:before="91"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3.化粪池清掏，无明显异味，每半年至少开展 1 次清洁作业。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3"/>
              <w:spacing w:before="93"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4.每个工作日内要对楼层产生的垃圾，进行清理分类，并运至垃圾集中堆放点。特别注意：有害垃圾和其他垃圾应当按规定分类收集</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3"/>
              <w:spacing w:before="94"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5.垃圾装袋， 日产日清，有必要时根据垃圾量提高清理频率。</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3"/>
              <w:spacing w:before="94"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6.建立垃圾清运台账，交由规范的渠道回收处理。</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3"/>
              <w:spacing w:before="90"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7.做好垃圾分类管理的宣传工作，督促并引导全员参与垃圾分类投放。</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3"/>
              <w:spacing w:before="160"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8.项目垃圾转运范围不包括厨房餐厨垃圾。</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3"/>
              <w:spacing w:before="161" w:line="20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9.根据《江苏省生活垃圾分类制度实施办法》及当地环卫部门、采购人相关管理部门要求做好垃圾分类管理工作。垃圾桶（箱）无异味，夏季每天消毒，桶、箱内外壁洁净、无明显污渍。垃圾桶（箱）内垃圾堆积不得超过容积的70%。</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rPr>
              <w:t xml:space="preserve">10.垃圾集中堆放点保持整洁，无明显异味，每日至少开展 1 次清洁作业。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4"/>
              <w:jc w:val="both"/>
              <w:spacing w:before="61" w:beforeAutospacing="0" w:afterAutospacing="0"/>
              <w:tabs>
                <w:tab w:val="left" w:pos="612"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rPr>
              <w:t xml:space="preserve">11.负责垃圾站的垃圾压缩，并与垃圾外运人员做好对接，确保垃圾外运顺利进行；及时清扫垃圾站，清洗垃圾桶并摆放整齐。</w:t>
            </w:r>
            <w:r/>
          </w:p>
        </w:tc>
      </w:tr>
      <w:tr>
        <w:trPr>
          <w:jc w:val="center"/>
          <w:tblCellSpacing w:w="0" w:type="dxa"/>
          <w:trHeight w:val="387"/>
        </w:trPr>
        <w:tc>
          <w:tcPr>
            <w:shd w:val="clear" w:color="auto" w:fill="auto"/>
            <w:tcMar>
              <w:left w:w="108" w:type="dxa"/>
              <w:right w:w="108" w:type="dxa"/>
            </w:tcMar>
            <w:tcW w:w="1554" w:type="dxa"/>
            <w:vAlign w:val="center"/>
            <w:vMerge w:val="restart"/>
            <w:textDirection w:val="lrTb"/>
            <w:noWrap w:val="false"/>
          </w:tcPr>
          <w:p>
            <w:pPr>
              <w:jc w:val="center"/>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7</w:t>
            </w:r>
            <w:r/>
          </w:p>
        </w:tc>
        <w:tc>
          <w:tcPr>
            <w:shd w:val="clear" w:color="auto" w:fill="auto"/>
            <w:tcMar>
              <w:left w:w="108" w:type="dxa"/>
              <w:right w:w="108" w:type="dxa"/>
            </w:tcMar>
            <w:tcW w:w="3141" w:type="dxa"/>
            <w:vAlign w:val="center"/>
            <w:vMerge w:val="restart"/>
            <w:textDirection w:val="lrTb"/>
            <w:noWrap w:val="false"/>
          </w:tcPr>
          <w:p>
            <w:pPr>
              <w:jc w:val="center"/>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卫生消毒</w:t>
            </w:r>
            <w:r/>
          </w:p>
        </w:tc>
        <w:tc>
          <w:tcPr>
            <w:shd w:val="clear" w:color="auto" w:fill="auto"/>
            <w:tcMar>
              <w:left w:w="108" w:type="dxa"/>
              <w:right w:w="108" w:type="dxa"/>
            </w:tcMar>
            <w:tcW w:w="9499" w:type="dxa"/>
            <w:textDirection w:val="lrTb"/>
            <w:noWrap w:val="false"/>
          </w:tcPr>
          <w:p>
            <w:pPr>
              <w:pStyle w:val="1073"/>
              <w:ind w:right="278"/>
              <w:spacing w:before="33" w:line="243"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（1）办公用房区域、公共场所区域和周围环境预防性卫生消毒，消毒后及时通风，每周至少开展 1 次作业。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lang w:bidi="ar"/>
              </w:rPr>
            </w:pPr>
            <w:r>
              <w:rPr>
                <w:rFonts w:asciiTheme="minorEastAsia" w:hAnsiTheme="minorEastAsia" w:eastAsiaTheme="minorEastAsia" w:cstheme="minorEastAsia"/>
                <w:i/>
                <w:iCs/>
                <w:sz w:val="24"/>
                <w:szCs w:val="24"/>
                <w:lang w:bidi="ar"/>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lang w:bidi="ar"/>
              </w:rPr>
            </w:pPr>
            <w:r>
              <w:rPr>
                <w:rFonts w:asciiTheme="minorEastAsia" w:hAnsiTheme="minorEastAsia" w:eastAsiaTheme="minorEastAsia" w:cstheme="minorEastAsia"/>
                <w:i/>
                <w:iCs/>
                <w:sz w:val="24"/>
                <w:szCs w:val="24"/>
                <w:lang w:bidi="ar"/>
              </w:rPr>
            </w:r>
            <w:r/>
          </w:p>
        </w:tc>
        <w:tc>
          <w:tcPr>
            <w:shd w:val="clear" w:color="auto" w:fill="auto"/>
            <w:tcMar>
              <w:left w:w="108" w:type="dxa"/>
              <w:right w:w="108" w:type="dxa"/>
            </w:tcMar>
            <w:tcW w:w="9499"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（2）采取综合措施消灭老鼠、蟑螂，控制室内外蚊虫孳生，达到基本无蝇，每季度至少开展 1 次作业。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lang w:bidi="ar"/>
              </w:rPr>
            </w:pPr>
            <w:r>
              <w:rPr>
                <w:rFonts w:asciiTheme="minorEastAsia" w:hAnsiTheme="minorEastAsia" w:eastAsiaTheme="minorEastAsia" w:cstheme="minorEastAsia"/>
                <w:i/>
                <w:iCs/>
                <w:sz w:val="24"/>
                <w:szCs w:val="24"/>
                <w:lang w:bidi="ar"/>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lang w:bidi="ar"/>
              </w:rPr>
            </w:pPr>
            <w:r>
              <w:rPr>
                <w:rFonts w:asciiTheme="minorEastAsia" w:hAnsiTheme="minorEastAsia" w:eastAsiaTheme="minorEastAsia" w:cstheme="minorEastAsia"/>
                <w:i/>
                <w:iCs/>
                <w:sz w:val="24"/>
                <w:szCs w:val="24"/>
                <w:lang w:bidi="ar"/>
              </w:rPr>
            </w:r>
            <w:r/>
          </w:p>
        </w:tc>
        <w:tc>
          <w:tcPr>
            <w:shd w:val="clear" w:color="auto" w:fill="auto"/>
            <w:tcMar>
              <w:left w:w="108" w:type="dxa"/>
              <w:right w:w="108" w:type="dxa"/>
            </w:tcMar>
            <w:tcW w:w="9499" w:type="dxa"/>
            <w:textDirection w:val="lrTb"/>
            <w:noWrap w:val="false"/>
          </w:tcPr>
          <w:p>
            <w:pPr>
              <w:pStyle w:val="1073"/>
              <w:spacing w:before="134"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（3）发生公共卫生事件时，邀请专业单位开展消毒、检测等工作。</w:t>
            </w:r>
            <w:r/>
          </w:p>
        </w:tc>
      </w:tr>
    </w:tbl>
    <w:p>
      <w:pPr>
        <w:pStyle w:val="775"/>
        <w:ind w:left="420" w:firstLine="0"/>
        <w:rPr>
          <w:rFonts w:asciiTheme="minorEastAsia" w:hAnsiTheme="minorEastAsia" w:eastAsiaTheme="minorEastAsia" w:cstheme="minorEastAsia"/>
          <w:b/>
          <w:bCs/>
          <w:i/>
          <w:iCs/>
          <w:spacing w:val="-1"/>
          <w:sz w:val="24"/>
          <w:szCs w:val="24"/>
        </w:rPr>
      </w:pPr>
      <w:r>
        <w:rPr>
          <w:rFonts w:hint="eastAsia" w:asciiTheme="minorEastAsia" w:hAnsiTheme="minorEastAsia" w:eastAsiaTheme="minorEastAsia" w:cstheme="minorEastAsia"/>
          <w:b/>
          <w:bCs/>
          <w:i/>
          <w:iCs/>
          <w:spacing w:val="-1"/>
          <w:sz w:val="24"/>
          <w:szCs w:val="24"/>
        </w:rPr>
        <w:t xml:space="preserve">3.2.1具体清洁要求</w:t>
      </w:r>
      <w:r/>
    </w:p>
    <w:p>
      <w:pPr>
        <w:jc w:val="left"/>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bl>
      <w:tblPr>
        <w:tblStyle w:val="768"/>
        <w:tblW w:w="14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948"/>
        <w:gridCol w:w="10386"/>
      </w:tblGrid>
      <w:tr>
        <w:trPr>
          <w:trHeight w:val="454"/>
        </w:trPr>
        <w:tc>
          <w:tcPr>
            <w:tcW w:w="826" w:type="dxa"/>
            <w:vAlign w:val="center"/>
            <w:textDirection w:val="lrTb"/>
            <w:noWrap w:val="false"/>
          </w:tcPr>
          <w:p>
            <w:pPr>
              <w:jc w:val="center"/>
              <w:rPr>
                <w:rFonts w:asciiTheme="minorEastAsia" w:hAnsiTheme="minorEastAsia" w:eastAsiaTheme="minorEastAsia" w:cstheme="minorEastAsia"/>
                <w:b/>
                <w:bCs/>
                <w:i/>
                <w:iCs/>
                <w:sz w:val="24"/>
                <w:szCs w:val="24"/>
              </w:rPr>
            </w:pPr>
            <w:r>
              <w:rPr>
                <w:rFonts w:hint="eastAsia" w:asciiTheme="minorEastAsia" w:hAnsiTheme="minorEastAsia" w:eastAsiaTheme="minorEastAsia" w:cstheme="minorEastAsia"/>
                <w:b/>
                <w:bCs/>
                <w:i/>
                <w:iCs/>
                <w:sz w:val="24"/>
                <w:szCs w:val="24"/>
              </w:rPr>
              <w:t xml:space="preserve">序号</w:t>
            </w:r>
            <w:r/>
          </w:p>
        </w:tc>
        <w:tc>
          <w:tcPr>
            <w:tcW w:w="2948" w:type="dxa"/>
            <w:vAlign w:val="center"/>
            <w:textDirection w:val="lrTb"/>
            <w:noWrap w:val="false"/>
          </w:tcPr>
          <w:p>
            <w:pPr>
              <w:jc w:val="center"/>
              <w:rPr>
                <w:rFonts w:asciiTheme="minorEastAsia" w:hAnsiTheme="minorEastAsia" w:eastAsiaTheme="minorEastAsia" w:cstheme="minorEastAsia"/>
                <w:b/>
                <w:bCs/>
                <w:i/>
                <w:iCs/>
                <w:sz w:val="24"/>
                <w:szCs w:val="24"/>
              </w:rPr>
            </w:pPr>
            <w:r>
              <w:rPr>
                <w:rFonts w:hint="eastAsia" w:asciiTheme="minorEastAsia" w:hAnsiTheme="minorEastAsia" w:eastAsiaTheme="minorEastAsia" w:cstheme="minorEastAsia"/>
                <w:b/>
                <w:bCs/>
                <w:i/>
                <w:iCs/>
                <w:sz w:val="24"/>
                <w:szCs w:val="24"/>
              </w:rPr>
              <w:t xml:space="preserve">材质</w:t>
            </w:r>
            <w:r/>
          </w:p>
        </w:tc>
        <w:tc>
          <w:tcPr>
            <w:tcW w:w="10386" w:type="dxa"/>
            <w:vAlign w:val="center"/>
            <w:textDirection w:val="lrTb"/>
            <w:noWrap w:val="false"/>
          </w:tcPr>
          <w:p>
            <w:pPr>
              <w:jc w:val="center"/>
              <w:rPr>
                <w:rFonts w:asciiTheme="minorEastAsia" w:hAnsiTheme="minorEastAsia" w:eastAsiaTheme="minorEastAsia" w:cstheme="minorEastAsia"/>
                <w:b/>
                <w:bCs/>
                <w:i/>
                <w:iCs/>
                <w:sz w:val="24"/>
                <w:szCs w:val="24"/>
              </w:rPr>
            </w:pPr>
            <w:r>
              <w:rPr>
                <w:rFonts w:hint="eastAsia" w:asciiTheme="minorEastAsia" w:hAnsiTheme="minorEastAsia" w:eastAsiaTheme="minorEastAsia" w:cstheme="minorEastAsia"/>
                <w:b/>
                <w:bCs/>
                <w:i/>
                <w:iCs/>
                <w:sz w:val="24"/>
                <w:szCs w:val="24"/>
              </w:rPr>
              <w:t xml:space="preserve">清洁要求</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环氧地坪地面</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（1）清理垃圾：清理地面上的垃圾和杂物。</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瓷砖地面</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（1）日常清洁：推尘，保持地面干净无杂物。</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（2）深度清洁：使用洗洁精或肥皂水清理。</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地板地面</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（1）定期保养：使用中性清洁剂清洁，避免使用强酸或强碱清洁剂，定期进行基础维护。</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（2）日常维护：使用湿润的拖把清洁，污染严重时局部清洁，每月对地板进行打蜡处理。</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4</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大理石地面</w:t>
            </w:r>
            <w:r/>
          </w:p>
        </w:tc>
        <w:tc>
          <w:tcPr>
            <w:tcW w:w="10386"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（1）每月必须进行一次全面的镜面处理专业养护工作，并且在日常养护时要：</w:t>
            </w:r>
            <w:r>
              <w:rPr>
                <w:rFonts w:hint="eastAsia" w:asciiTheme="minorEastAsia" w:hAnsiTheme="minorEastAsia" w:eastAsiaTheme="minorEastAsia" w:cstheme="minorEastAsia"/>
                <w:i/>
                <w:iCs/>
                <w:sz w:val="24"/>
                <w:szCs w:val="24"/>
              </w:rPr>
              <w:fldChar w:fldCharType="begin"/>
            </w:r>
            <w:r>
              <w:rPr>
                <w:rFonts w:hint="eastAsia" w:asciiTheme="minorEastAsia" w:hAnsiTheme="minorEastAsia" w:eastAsiaTheme="minorEastAsia" w:cstheme="minorEastAsia"/>
                <w:i/>
                <w:iCs/>
                <w:sz w:val="24"/>
                <w:szCs w:val="24"/>
              </w:rPr>
              <w:instrText xml:space="preserve"> = 1 \* GB3 </w:instrText>
            </w:r>
            <w:r>
              <w:rPr>
                <w:rFonts w:hint="eastAsia" w:asciiTheme="minorEastAsia" w:hAnsiTheme="minorEastAsia" w:eastAsiaTheme="minorEastAsia" w:cstheme="minorEastAsia"/>
                <w:i/>
                <w:iCs/>
                <w:sz w:val="24"/>
                <w:szCs w:val="24"/>
              </w:rPr>
              <w:fldChar w:fldCharType="separate"/>
            </w:r>
            <w:r>
              <w:rPr>
                <w:rFonts w:hint="eastAsia" w:asciiTheme="minorEastAsia" w:hAnsiTheme="minorEastAsia" w:eastAsiaTheme="minorEastAsia" w:cstheme="minorEastAsia"/>
                <w:i/>
                <w:iCs/>
                <w:sz w:val="24"/>
                <w:szCs w:val="24"/>
              </w:rPr>
              <w:t xml:space="preserve">①</w:t>
            </w:r>
            <w:r>
              <w:rPr>
                <w:rFonts w:hint="eastAsia" w:asciiTheme="minorEastAsia" w:hAnsiTheme="minorEastAsia" w:eastAsiaTheme="minorEastAsia" w:cstheme="minorEastAsia"/>
                <w:i/>
                <w:iCs/>
                <w:sz w:val="24"/>
                <w:szCs w:val="24"/>
              </w:rPr>
              <w:fldChar w:fldCharType="end"/>
            </w:r>
            <w:r>
              <w:rPr>
                <w:rFonts w:hint="eastAsia" w:asciiTheme="minorEastAsia" w:hAnsiTheme="minorEastAsia" w:eastAsiaTheme="minorEastAsia" w:cstheme="minorEastAsia"/>
                <w:i/>
                <w:iCs/>
                <w:sz w:val="24"/>
                <w:szCs w:val="24"/>
              </w:rPr>
              <w:t xml:space="preserve">用干净尘推喷洒适量静电吸尘剂循环推地，遇有水或果汁等液体时用干毛巾擦掉，遇有粘性物附于地上时则用小铲刀予以清除。</w:t>
            </w:r>
            <w:r>
              <w:rPr>
                <w:rFonts w:hint="eastAsia" w:asciiTheme="minorEastAsia" w:hAnsiTheme="minorEastAsia" w:eastAsiaTheme="minorEastAsia" w:cstheme="minorEastAsia"/>
                <w:i/>
                <w:iCs/>
                <w:sz w:val="24"/>
                <w:szCs w:val="24"/>
              </w:rPr>
              <w:fldChar w:fldCharType="begin"/>
            </w:r>
            <w:r>
              <w:rPr>
                <w:rFonts w:hint="eastAsia" w:asciiTheme="minorEastAsia" w:hAnsiTheme="minorEastAsia" w:eastAsiaTheme="minorEastAsia" w:cstheme="minorEastAsia"/>
                <w:i/>
                <w:iCs/>
                <w:sz w:val="24"/>
                <w:szCs w:val="24"/>
              </w:rPr>
              <w:instrText xml:space="preserve"> = 2 \* GB3 </w:instrText>
            </w:r>
            <w:r>
              <w:rPr>
                <w:rFonts w:hint="eastAsia" w:asciiTheme="minorEastAsia" w:hAnsiTheme="minorEastAsia" w:eastAsiaTheme="minorEastAsia" w:cstheme="minorEastAsia"/>
                <w:i/>
                <w:iCs/>
                <w:sz w:val="24"/>
                <w:szCs w:val="24"/>
              </w:rPr>
              <w:fldChar w:fldCharType="separate"/>
            </w:r>
            <w:r>
              <w:rPr>
                <w:rFonts w:hint="eastAsia" w:asciiTheme="minorEastAsia" w:hAnsiTheme="minorEastAsia" w:eastAsiaTheme="minorEastAsia" w:cstheme="minorEastAsia"/>
                <w:i/>
                <w:iCs/>
                <w:sz w:val="24"/>
                <w:szCs w:val="24"/>
              </w:rPr>
              <w:t xml:space="preserve">②</w:t>
            </w:r>
            <w:r>
              <w:rPr>
                <w:rFonts w:hint="eastAsia" w:asciiTheme="minorEastAsia" w:hAnsiTheme="minorEastAsia" w:eastAsiaTheme="minorEastAsia" w:cstheme="minorEastAsia"/>
                <w:i/>
                <w:iCs/>
                <w:sz w:val="24"/>
                <w:szCs w:val="24"/>
              </w:rPr>
              <w:fldChar w:fldCharType="end"/>
            </w:r>
            <w:r>
              <w:rPr>
                <w:rFonts w:hint="eastAsia" w:asciiTheme="minorEastAsia" w:hAnsiTheme="minorEastAsia" w:eastAsiaTheme="minorEastAsia" w:cstheme="minorEastAsia"/>
                <w:i/>
                <w:iCs/>
                <w:sz w:val="24"/>
                <w:szCs w:val="24"/>
              </w:rPr>
              <w:t xml:space="preserve">发现有颜色的液体（如茶汁、可乐、咖啡、果汁等）必须及时擦掉，以免时间过长影响地面光泽。③确保石材地面光亮、洁净、光泽度好，地面布蜡均匀、无污渍。</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（2）保持地面石材完好、光亮、整洁。</w:t>
            </w:r>
            <w:r/>
          </w:p>
        </w:tc>
      </w:tr>
      <w:tr>
        <w:trPr>
          <w:trHeight w:val="518"/>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（3）每月必须进行一次全面的专业镜面处理，全年不得低于四次。</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（4）专业养护必须由专业公司实施，污损严重时进行专业翻新处理。</w:t>
            </w:r>
            <w:r/>
          </w:p>
        </w:tc>
      </w:tr>
      <w:tr>
        <w:trPr>
          <w:trHeight w:val="454"/>
        </w:trPr>
        <w:tc>
          <w:tcPr>
            <w:tcW w:w="826" w:type="dxa"/>
            <w:vAlign w:val="center"/>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5</w:t>
            </w:r>
            <w:r/>
          </w:p>
        </w:tc>
        <w:tc>
          <w:tcPr>
            <w:tcW w:w="2948"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乳胶漆内墙</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有污渍时用半干布擦拭。</w:t>
            </w:r>
            <w:r/>
          </w:p>
        </w:tc>
      </w:tr>
      <w:tr>
        <w:trPr>
          <w:trHeight w:val="454"/>
        </w:trPr>
        <w:tc>
          <w:tcPr>
            <w:tcW w:w="826" w:type="dxa"/>
            <w:vAlign w:val="center"/>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6</w:t>
            </w:r>
            <w:r/>
          </w:p>
        </w:tc>
        <w:tc>
          <w:tcPr>
            <w:tcW w:w="2948"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木饰面内墙</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有污渍时用中性清洁剂、半干布擦拭。</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7</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不锈钢栏杆</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（1）日常清洁：用</w:t>
            </w:r>
            <w:r>
              <w:rPr>
                <w:rFonts w:asciiTheme="minorEastAsia" w:hAnsiTheme="minorEastAsia" w:eastAsiaTheme="minorEastAsia" w:cstheme="minorEastAsia"/>
                <w:i/>
                <w:iCs/>
                <w:sz w:val="24"/>
                <w:szCs w:val="24"/>
              </w:rPr>
              <w:t xml:space="preserve">温水湿润抹布后擦拭即可。对于顽固手印，可用稀释的中性温和洗洁精水溶液擦拭。必须用清水再次擦拭，去除清洁剂残留，然后用干抹布彻底擦干，防止水渍形成。</w:t>
            </w:r>
            <w:r/>
          </w:p>
        </w:tc>
      </w:tr>
      <w:tr>
        <w:trPr>
          <w:trHeight w:val="110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numPr>
                <w:ilvl w:val="0"/>
                <w:numId w:val="7"/>
              </w:numPr>
              <w:ind w:left="0"/>
              <w:jc w:val="left"/>
              <w:spacing w:beforeAutospacing="1" w:afterAutospacing="1"/>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（2）定期保养：</w:t>
            </w:r>
            <w:r>
              <w:rPr>
                <w:rFonts w:asciiTheme="minorEastAsia" w:hAnsiTheme="minorEastAsia" w:eastAsiaTheme="minorEastAsia" w:cstheme="minorEastAsia"/>
                <w:i/>
                <w:iCs/>
                <w:sz w:val="24"/>
                <w:szCs w:val="24"/>
              </w:rPr>
              <w:t xml:space="preserve">使用不锈钢专用清洁护理剂。先喷洒在软布上，再擦拭栏杆，均匀涂抹后，用干布擦亮。可使用不锈钢抛光膏</w:t>
            </w:r>
            <w:r>
              <w:rPr>
                <w:rFonts w:hint="eastAsia" w:asciiTheme="minorEastAsia" w:hAnsiTheme="minorEastAsia" w:eastAsiaTheme="minorEastAsia" w:cstheme="minorEastAsia"/>
                <w:i/>
                <w:iCs/>
                <w:sz w:val="24"/>
                <w:szCs w:val="24"/>
              </w:rPr>
              <w:t xml:space="preserve">，</w:t>
            </w:r>
            <w:r>
              <w:rPr>
                <w:rFonts w:asciiTheme="minorEastAsia" w:hAnsiTheme="minorEastAsia" w:eastAsiaTheme="minorEastAsia" w:cstheme="minorEastAsia"/>
                <w:i/>
                <w:iCs/>
                <w:sz w:val="24"/>
                <w:szCs w:val="24"/>
              </w:rPr>
              <w:t xml:space="preserve">用软布蘸取少量，按纹理方向均匀打磨，最后用干净软布抛亮。</w:t>
            </w:r>
            <w:r/>
          </w:p>
        </w:tc>
      </w:tr>
    </w:tbl>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firstLine="480"/>
        <w:jc w:val="lef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注：根据物业用材情况选择清洁要求。</w:t>
      </w:r>
      <w:r/>
    </w:p>
    <w:p>
      <w:pPr>
        <w:pStyle w:val="775"/>
        <w:ind w:left="420" w:firstLine="0"/>
        <w:rPr>
          <w:rFonts w:asciiTheme="minorEastAsia" w:hAnsiTheme="minorEastAsia" w:eastAsiaTheme="minorEastAsia" w:cstheme="minorEastAsia"/>
          <w:b/>
          <w:bCs/>
          <w:spacing w:val="-1"/>
          <w:sz w:val="24"/>
          <w:szCs w:val="24"/>
        </w:rPr>
      </w:pPr>
      <w:r>
        <w:rPr>
          <w:rFonts w:asciiTheme="minorEastAsia" w:hAnsiTheme="minorEastAsia" w:eastAsiaTheme="minorEastAsia" w:cstheme="minorEastAsia"/>
          <w:b/>
          <w:bCs/>
          <w:spacing w:val="-1"/>
          <w:sz w:val="24"/>
          <w:szCs w:val="24"/>
        </w:rPr>
      </w:r>
      <w:r/>
    </w:p>
    <w:p>
      <w:pPr>
        <w:pStyle w:val="775"/>
        <w:ind w:left="420"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3.3绿化养护服务</w:t>
      </w:r>
      <w:r/>
    </w:p>
    <w:p>
      <w:pPr>
        <w:spacing w:line="29"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bl>
      <w:tblPr>
        <w:tblStyle w:val="987"/>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textDirection w:val="lrTb"/>
            <w:noWrap w:val="false"/>
          </w:tcPr>
          <w:p>
            <w:pPr>
              <w:ind w:left="413"/>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序号</w:t>
            </w:r>
            <w:r/>
          </w:p>
        </w:tc>
        <w:tc>
          <w:tcPr>
            <w:tcW w:w="3367" w:type="dxa"/>
            <w:textDirection w:val="lrTb"/>
            <w:noWrap w:val="false"/>
          </w:tcPr>
          <w:p>
            <w:pPr>
              <w:ind w:left="1261"/>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服务内容</w:t>
            </w:r>
            <w:r/>
          </w:p>
        </w:tc>
        <w:tc>
          <w:tcPr>
            <w:tcW w:w="9938" w:type="dxa"/>
            <w:textDirection w:val="lrTb"/>
            <w:noWrap w:val="false"/>
          </w:tcPr>
          <w:p>
            <w:pPr>
              <w:ind w:left="4546"/>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服务标准</w:t>
            </w:r>
            <w:r/>
          </w:p>
        </w:tc>
      </w:tr>
      <w:tr>
        <w:trPr>
          <w:trHeight w:val="457"/>
        </w:trPr>
        <w:tc>
          <w:tcPr>
            <w:tcW w:w="1245" w:type="dxa"/>
            <w:vAlign w:val="center"/>
            <w:vMerge w:val="restart"/>
            <w:textDirection w:val="lrTb"/>
            <w:noWrap w:val="false"/>
          </w:tcPr>
          <w:p>
            <w:pPr>
              <w:jc w:val="center"/>
              <w:spacing w:line="29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84"/>
              <w:jc w:val="center"/>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w:t>
            </w:r>
            <w:r/>
          </w:p>
        </w:tc>
        <w:tc>
          <w:tcPr>
            <w:tcW w:w="3367" w:type="dxa"/>
            <w:vAlign w:val="center"/>
            <w:vMerge w:val="restart"/>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基本要求</w:t>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1.制定绿化养护服务的工作制度及工作计划，并按照执行。</w:t>
            </w:r>
            <w:r/>
          </w:p>
        </w:tc>
      </w:tr>
      <w:tr>
        <w:trPr>
          <w:trHeight w:val="461"/>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2.做好绿化养护服务工作记录，填写规范。管护组织制度全，工作有台帐，记录全，内容实并及时上报。</w:t>
            </w:r>
            <w:r/>
          </w:p>
        </w:tc>
      </w:tr>
      <w:tr>
        <w:trPr>
          <w:trHeight w:val="462"/>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3.作业时采取安全防护措施，防止对作业人员或他人造成伤害。</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4.相关耗材的环保、安全性应当符合规定要求。</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5.定员定岗，统一着装上岗，严格按安全生产操作规程组织作业，养护管理规范。</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6.按采购方要求，准时参加会议、活动及各类业务培训。</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7.养护管理负责人到位，通讯畅通，承包绿地无转包现象；发现破坏绿化现象能及时汇报。</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8.虫害防治、草坪修剪、绿篱修剪机械化使用率90%以上，绿化灌溉、运输机械化作业率达100%，喷绘有“**公司园林绿化”标识。</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9.协助调查、解决来电来访等信访反映的养护问题。</w:t>
            </w:r>
            <w:r/>
          </w:p>
        </w:tc>
      </w:tr>
      <w:tr>
        <w:trPr>
          <w:trHeight w:val="458"/>
        </w:trPr>
        <w:tc>
          <w:tcPr>
            <w:tcW w:w="1245" w:type="dxa"/>
            <w:vAlign w:val="center"/>
            <w:vMerge w:val="restart"/>
            <w:textDirection w:val="lrTb"/>
            <w:noWrap w:val="false"/>
          </w:tcPr>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4"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4"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4"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8"/>
              <w:jc w:val="center"/>
              <w:spacing w:before="64" w:line="180"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w:t>
            </w:r>
            <w:r/>
          </w:p>
        </w:tc>
        <w:tc>
          <w:tcPr>
            <w:tcW w:w="3367" w:type="dxa"/>
            <w:vAlign w:val="center"/>
            <w:vMerge w:val="restart"/>
            <w:textDirection w:val="lrTb"/>
            <w:noWrap w:val="false"/>
          </w:tcPr>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3"/>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3"/>
              <w:ind w:firstLine="720"/>
              <w:jc w:val="center"/>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室外绿化养护</w:t>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1.根据生长环境、植物特性进行除草、灌溉、施肥、整形修剪、防治病虫害等。</w:t>
            </w:r>
            <w:r/>
          </w:p>
        </w:tc>
      </w:tr>
      <w:tr>
        <w:trPr>
          <w:trHeight w:val="460"/>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2.根据生长情况修剪绿地，绿地内无枯草、无杂物，无干枯坏死和病虫侵害，基本无裸露土地。</w:t>
            </w:r>
            <w:r/>
          </w:p>
        </w:tc>
      </w:tr>
      <w:tr>
        <w:trPr>
          <w:trHeight w:val="686"/>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3.定期修剪树木、花卉等，灌乔木生长正常、造型美观自然、花枝新鲜，无枯叶、无病虫、无死树缺株。</w:t>
            </w:r>
            <w:r/>
          </w:p>
        </w:tc>
      </w:tr>
      <w:tr>
        <w:trPr>
          <w:trHeight w:val="458"/>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4.绿篱生长造型正常，颜色正常，修剪及时，基本无死株和干死株，有虫株率在10%以下。</w:t>
            </w:r>
            <w:r/>
          </w:p>
        </w:tc>
      </w:tr>
      <w:tr>
        <w:trPr>
          <w:trHeight w:val="458"/>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5.清除花坛和花景的花蒂、黄叶、杂草、垃圾，做好病虫害防治。</w:t>
            </w:r>
            <w:r/>
          </w:p>
        </w:tc>
      </w:tr>
      <w:tr>
        <w:trPr>
          <w:trHeight w:val="461"/>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6.水池水面定期清理，无枯枝落叶、水质清洁。</w:t>
            </w:r>
            <w:r/>
          </w:p>
        </w:tc>
      </w:tr>
      <w:tr>
        <w:trPr>
          <w:trHeight w:val="686"/>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7.根据病虫害发生规律实施综合治理，通常在病虫率高时，以药剂杀死病虫，以确保植物良好生长。</w:t>
            </w:r>
            <w:r/>
          </w:p>
        </w:tc>
      </w:tr>
      <w:tr>
        <w:trPr>
          <w:trHeight w:val="458"/>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8.雨雪、冰冻等恶劣天气来临前，专人巡查，对绿植做好预防措施，排除安全隐患。</w:t>
            </w:r>
            <w:r/>
          </w:p>
        </w:tc>
      </w:tr>
      <w:tr>
        <w:trPr>
          <w:trHeight w:val="458"/>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9.恶劣天气后，及时清除倒树断枝，疏通道路，尽快恢复原状。</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10.绿地保洁：（1）绿地及广场整洁，无白色污染（树挂），无垃圾杂物、无石砾、砖块、无干枝枯叶、无粪便暴露、无鼠洞和蚊蝇滋生地等，发现鼠洞要随时堵塞。（2）绿地内水面杂物及时清理，做到巡视保洁。（3）绿化生产垃圾（树枝、树叶、草屑等）随产随清。</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11.绿化设施维修：（1）绿化景点标志牌、指示牌、坐椅、栏杆、及园林建筑小品、园路等设施整洁完好，维护及时。（2）树木支撑规范，扎缚有效。</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12.松土除草：（1）绿地及时松土除草，保持土壤疏松，松土深度不伤根系。（2）树穴整修，草坪内树穴与绿篱及时切边，草坪与树木、绿篱、草花应有分隔沟。（3）经采购人同意使用除草剂须保证植株的安全，确保不发生药害。</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13.浇灌排水：（1）根据实际，对绿化树木及草坪进行适期适量浇水、喷水，及时抗旱，确保正常生长。（2）绿地内（雨后）不积水，坑坑洼洼及时填平。</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14.施肥：（1）绿地、草坪、植物按要求施肥及时，每年休眠期施基肥，生长期施2-3次追肥，规范操作，施肥后及时覆盖。（2）施肥方法适当，用量合理，不产生肥害。</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15.病虫防治：（1）发现病虫害应主动汇报，积极防治，效果明显。（2）农药严格按病虫情报指导要求配比、用量正确，无药害产生。（3）冬季树木涂白、修剪，清理消灭越冬虫蛹虫茧及有关病原体。</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16.花卉：（1）植株健壮，无病虫害，无缺株，不露土，残花及时摘除。（2）花坛、花镜内基本无杂草。</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17.</w:t>
            </w:r>
            <w:r>
              <w:rPr>
                <w:rFonts w:hint="eastAsia" w:asciiTheme="minorEastAsia" w:hAnsiTheme="minorEastAsia" w:eastAsiaTheme="minorEastAsia" w:cstheme="minorEastAsia"/>
                <w:i/>
                <w:iCs/>
                <w:color w:val="auto"/>
                <w:sz w:val="24"/>
                <w:szCs w:val="24"/>
                <w:lang w:eastAsia="zh-CN" w:bidi="ar"/>
              </w:rPr>
              <w:t xml:space="preserve">绿化长势：（1）绿地范围内树木无死株、断枝及明显枯枝，无大片光秃落叶。（2）绿地内乔灌木有缺株，绿篱及满种模纹、草花有空缺应及时补缺，少数树种因季节不能及时补种除外。（3）绿地内树木生长健壮，无倾斜、倒歪现象。高大乔木在大风来临时应采取防倒有效措施，因台风等灾害天气造成树木倒伏时，应及时扶正支撑倒伏树木。（4）冷季型草坪每年冬春两季打孔一次，暖季型草坪每二年打孔一次，打孔密度为49孔上/平方，深度4cm以上。草坪应长势旺盛，色泽一致，无黄化、积水现象，基本无杂草。（5）草坪无空缺，如有空缺应及时重播或重铺。</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3"/>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18.整枝修剪：（1）树木修剪规范整齐。高大乔木树冠完美、定枝、整枝合理均匀，内膛不乱，无枯枝死衩；花灌木修剪及时、准确，按时开花结果；色块、绿篱适期修剪，曲线润畅，轮廓明显，不脱脚，不缺损，三面整齐平整；球类修剪圆整，造型优雅。（2）按采购人要求进行修剪。要根据树木习性及时修剪剥芽，修剪符合要求，树木通风透光良好。（3）草坪按照1/3原则适时进行修剪，保持一定高度，修剪面平整，边角无遗留，草屑及时扫尽运出。草坪修剪高度：冷季型为6-8cm；夏季8-11cm；暖季型5-7cm。</w:t>
            </w:r>
            <w:r/>
          </w:p>
        </w:tc>
      </w:tr>
    </w:tbl>
    <w:p>
      <w:pPr>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注：（1）养护标准：养护须符合园林绿化养护标准CJJT-287-2018中的一级养护管理标准。</w:t>
      </w:r>
      <w:r/>
    </w:p>
    <w:p>
      <w:pPr>
        <w:ind w:firstLine="482"/>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（2）供应商可以自行前往采购人处踏勘，了解工作量，如果供应商预估工作量有误而导致报价过低无法正常履约责任自负。</w:t>
      </w:r>
      <w:r/>
    </w:p>
    <w:p>
      <w:pPr>
        <w:numPr>
          <w:ilvl w:val="0"/>
          <w:numId w:val="8"/>
        </w:numPr>
        <w:ind w:left="536"/>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供应商履行合同所需的设备及耗材</w:t>
      </w:r>
      <w:r/>
    </w:p>
    <w:p>
      <w:pPr>
        <w:ind w:firstLine="482"/>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4.1</w:t>
      </w:r>
      <w:r>
        <w:rPr>
          <w:rFonts w:hint="eastAsia" w:asciiTheme="minorEastAsia" w:hAnsiTheme="minorEastAsia" w:eastAsiaTheme="minorEastAsia" w:cstheme="minorEastAsia"/>
          <w:i/>
          <w:iCs/>
          <w:spacing w:val="8"/>
          <w:sz w:val="24"/>
          <w:szCs w:val="24"/>
          <w:shd w:val="clear" w:color="auto" w:fill="ffffff"/>
        </w:rPr>
        <w:t xml:space="preserve">设备</w:t>
      </w:r>
      <w:r/>
    </w:p>
    <w:p>
      <w:pPr>
        <w:spacing w:line="59" w:lineRule="exact"/>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bl>
      <w:tblPr>
        <w:tblStyle w:val="987"/>
        <w:tblW w:w="144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2830"/>
        <w:gridCol w:w="4640"/>
        <w:gridCol w:w="1107"/>
        <w:gridCol w:w="1120"/>
        <w:gridCol w:w="3627"/>
      </w:tblGrid>
      <w:tr>
        <w:trPr>
          <w:trHeight w:val="462"/>
        </w:trPr>
        <w:tc>
          <w:tcPr>
            <w:tcW w:w="1140" w:type="dxa"/>
            <w:textDirection w:val="lrTb"/>
            <w:noWrap w:val="false"/>
          </w:tcPr>
          <w:p>
            <w:pPr>
              <w:ind w:left="358"/>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序号</w:t>
            </w:r>
            <w:r/>
          </w:p>
        </w:tc>
        <w:tc>
          <w:tcPr>
            <w:tcW w:w="2830" w:type="dxa"/>
            <w:textDirection w:val="lrTb"/>
            <w:noWrap w:val="false"/>
          </w:tcPr>
          <w:p>
            <w:pPr>
              <w:ind w:left="2113"/>
              <w:spacing w:before="94" w:line="185"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用途</w:t>
            </w:r>
            <w:r/>
          </w:p>
        </w:tc>
        <w:tc>
          <w:tcPr>
            <w:tcW w:w="4640" w:type="dxa"/>
            <w:textDirection w:val="lrTb"/>
            <w:noWrap w:val="false"/>
          </w:tcPr>
          <w:p>
            <w:pPr>
              <w:ind w:firstLine="1673"/>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作业设备名称</w:t>
            </w:r>
            <w:r/>
          </w:p>
        </w:tc>
        <w:tc>
          <w:tcPr>
            <w:tcW w:w="1107" w:type="dxa"/>
            <w:textDirection w:val="lrTb"/>
            <w:noWrap w:val="false"/>
          </w:tcPr>
          <w:p>
            <w:pPr>
              <w:ind w:left="533"/>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数量</w:t>
            </w:r>
            <w:r/>
          </w:p>
        </w:tc>
        <w:tc>
          <w:tcPr>
            <w:tcW w:w="1120" w:type="dxa"/>
            <w:textDirection w:val="lrTb"/>
            <w:noWrap w:val="false"/>
          </w:tcPr>
          <w:p>
            <w:pPr>
              <w:ind w:left="519"/>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单位</w:t>
            </w:r>
            <w:r/>
          </w:p>
        </w:tc>
        <w:tc>
          <w:tcPr>
            <w:tcW w:w="3627" w:type="dxa"/>
            <w:textDirection w:val="lrTb"/>
            <w:noWrap w:val="false"/>
          </w:tcPr>
          <w:p>
            <w:pPr>
              <w:ind w:left="519" w:firstLine="478"/>
              <w:spacing w:before="94" w:line="186" w:lineRule="auto"/>
              <w:rPr>
                <w:rFonts w:asciiTheme="minorEastAsia" w:hAnsiTheme="minorEastAsia" w:eastAsiaTheme="minorEastAsia" w:cstheme="minorEastAsia"/>
                <w:b/>
                <w:bCs/>
                <w:i/>
                <w:iCs/>
                <w:spacing w:val="-1"/>
                <w:sz w:val="24"/>
                <w:szCs w:val="24"/>
              </w:rPr>
            </w:pPr>
            <w:r>
              <w:rPr>
                <w:rFonts w:hint="eastAsia" w:asciiTheme="minorEastAsia" w:hAnsiTheme="minorEastAsia" w:eastAsiaTheme="minorEastAsia" w:cstheme="minorEastAsia"/>
                <w:b/>
                <w:bCs/>
                <w:i/>
                <w:iCs/>
                <w:spacing w:val="-1"/>
                <w:sz w:val="24"/>
                <w:szCs w:val="24"/>
              </w:rPr>
              <w:t xml:space="preserve">规格参数与要求</w:t>
            </w:r>
            <w:r/>
          </w:p>
        </w:tc>
      </w:tr>
      <w:tr>
        <w:trPr>
          <w:trHeight w:val="460"/>
        </w:trPr>
        <w:tc>
          <w:tcPr>
            <w:tcW w:w="1140" w:type="dxa"/>
            <w:vMerge w:val="restart"/>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ind w:firstLine="480"/>
              <w:jc w:val="both"/>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4"/>
              <w:ind w:firstLine="480"/>
              <w:jc w:val="both"/>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2830" w:type="dxa"/>
            <w:vAlign w:val="center"/>
            <w:vMerge w:val="restart"/>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保洁服务</w:t>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多功能道路清扫车</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辆</w:t>
            </w:r>
            <w:r/>
          </w:p>
        </w:tc>
        <w:tc>
          <w:tcPr>
            <w:tcW w:w="362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符合国家相关标准，具备良好的清扫、清运功能，车况良好。</w:t>
            </w:r>
            <w:r/>
          </w:p>
        </w:tc>
      </w:tr>
      <w:tr>
        <w:trPr>
          <w:trHeight w:val="457"/>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全自动洗地机</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辆</w:t>
            </w:r>
            <w:r/>
          </w:p>
        </w:tc>
        <w:tc>
          <w:tcPr>
            <w:tcW w:w="362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具备道路冲刷、洒水降尘功能，洒水范围、水量可调节，符合相关作业标准。</w:t>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快速电动三轮保洁车</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辆</w:t>
            </w:r>
            <w:r/>
          </w:p>
        </w:tc>
        <w:tc>
          <w:tcPr>
            <w:tcW w:w="362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续航能力强，载重量满足日常保洁需求，操作便捷，安全性能良好。</w:t>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铝合金梯</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部</w:t>
            </w:r>
            <w:r/>
          </w:p>
        </w:tc>
        <w:tc>
          <w:tcPr>
            <w:tcW w:w="362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高承重、抗压强，具有安全监测报告。</w:t>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三速吹干机</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噪音低、带控温保护、功率≥1000W，有效风力达20米开外。</w:t>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多功能保洁推车</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容量大、厚实耐用</w:t>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鱼池吸污机</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个</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噪音小、容量大、吸力大，功率≥1400W</w:t>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擦玻璃伸缩杆（9米）</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个</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擦玻璃伸缩杆（1.2米）</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个</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擦玻璃伸缩杆（2米）</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个</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洗衣机</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吸尘器</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噪音小、容量大、吸力大</w:t>
            </w:r>
            <w:r/>
          </w:p>
        </w:tc>
      </w:tr>
      <w:tr>
        <w:trPr>
          <w:trHeight w:val="458"/>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吸水机</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60"/>
        </w:trPr>
        <w:tc>
          <w:tcPr>
            <w:tcW w:w="1140" w:type="dxa"/>
            <w:vAlign w:val="center"/>
            <w:vMerge w:val="restart"/>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2830" w:type="dxa"/>
            <w:vAlign w:val="center"/>
            <w:vMerge w:val="restart"/>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绿化养护服务</w:t>
            </w:r>
            <w:r/>
          </w:p>
        </w:tc>
        <w:tc>
          <w:tcPr>
            <w:tcW w:w="464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绿篱机    </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60"/>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草坪修剪机</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60"/>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割灌机</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60"/>
        </w:trPr>
        <w:tc>
          <w:tcPr>
            <w:tcW w:w="114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洒水车/水罐车</w:t>
            </w:r>
            <w:r/>
          </w:p>
        </w:tc>
        <w:tc>
          <w:tcPr>
            <w:tcW w:w="1107"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4"/>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bl>
    <w:p>
      <w:pPr>
        <w:pStyle w:val="764"/>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注：上述设备只列举部分，未能详细尽列，供应商应根据项目需求自行配置相关设备（自有或租赁）以达到采购人的各项需求。</w:t>
      </w:r>
      <w:r/>
    </w:p>
    <w:p>
      <w:pPr>
        <w:ind w:firstLine="482"/>
        <w:spacing w:before="90" w:line="185" w:lineRule="auto"/>
        <w:rPr>
          <w:rFonts w:asciiTheme="minorEastAsia" w:hAnsiTheme="minorEastAsia" w:eastAsiaTheme="minorEastAsia" w:cstheme="minorEastAsia"/>
          <w:b/>
          <w:bCs/>
          <w:sz w:val="24"/>
          <w:szCs w:val="24"/>
        </w:rPr>
        <w:sectPr>
          <w:footerReference w:type="default" r:id="rId10"/>
          <w:footnotePr/>
          <w:endnotePr/>
          <w:type w:val="nextPage"/>
          <w:pgSz w:w="16838" w:h="11906" w:orient="landscape"/>
          <w:pgMar w:top="1803" w:right="1440" w:bottom="1803" w:left="1440" w:header="851" w:footer="992" w:gutter="0"/>
          <w:cols w:num="1" w:sep="0" w:space="0" w:equalWidth="1"/>
          <w:docGrid w:linePitch="360"/>
        </w:sectPr>
        <w:outlineLvl w:val="1"/>
      </w:pPr>
      <w:r>
        <w:rPr>
          <w:rFonts w:asciiTheme="minorEastAsia" w:hAnsiTheme="minorEastAsia" w:eastAsiaTheme="minorEastAsia" w:cstheme="minorEastAsia"/>
          <w:b/>
          <w:bCs/>
          <w:sz w:val="24"/>
          <w:szCs w:val="24"/>
        </w:rPr>
      </w:r>
      <w:r/>
    </w:p>
    <w:p>
      <w:pPr>
        <w:ind w:firstLine="482"/>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4.2保洁服务所需工具及耗材</w:t>
      </w:r>
      <w:r/>
    </w:p>
    <w:tbl>
      <w:tblPr>
        <w:tblStyle w:val="740"/>
        <w:tblW w:w="9453" w:type="dxa"/>
        <w:tblInd w:w="-516" w:type="dxa"/>
        <w:tblLayout w:type="fixed"/>
        <w:tblCellMar>
          <w:left w:w="108" w:type="dxa"/>
          <w:top w:w="0" w:type="dxa"/>
          <w:right w:w="108" w:type="dxa"/>
          <w:bottom w:w="0" w:type="dxa"/>
        </w:tblCellMar>
        <w:tblLook w:val="04A0" w:firstRow="1" w:lastRow="0" w:firstColumn="1" w:lastColumn="0" w:noHBand="0" w:noVBand="1"/>
      </w:tblPr>
      <w:tblGrid>
        <w:gridCol w:w="840"/>
        <w:gridCol w:w="3027"/>
        <w:gridCol w:w="2649"/>
        <w:gridCol w:w="1684"/>
        <w:gridCol w:w="1253"/>
      </w:tblGrid>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规格或型号</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年预估量</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单位</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不锈钢杆尘推+（尘推布）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尘推替换布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平板拖把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替换布头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块</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棉纱线拖把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普通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海绵拖把头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大竹扫帚</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约5斤重，约2.3m高</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中扫把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约4斤重，约1.8m高</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芦苇扫把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约90cm高</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铁皮簸箕</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大号，约80cm高</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塑料扫把+簸箕</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马桶软刷</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PP塑胶杆+纤维刷头</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马桶硬刷</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PP+PET材质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钢丝清洁球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21L, 40斤水</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长柄，木质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鸡毛掸</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普通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胶手套</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长筒</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副</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皮吸</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皮吸</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玻璃套装工具</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3.6米三节</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涂水器</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PP塑胶杆+纤维</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火钳</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云石铲刀</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塑料+金属</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刀片</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金属</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1360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灭鼠器材</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灭蚊蝇器材</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（90*110  特厚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259200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（100*120  特厚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12672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小号背心垃圾袋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（36*55  加厚）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39600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中号背心垃圾袋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（48*70 加厚）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35800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小号平口垃圾袋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（45*50 加厚）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29360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小号平口垃圾袋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（50*60 加厚）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283320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卫生纸</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4层，≥125g</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128520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卷</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芳香球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Ф3cm/粒，80g/包</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10200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包</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洁厕粉</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1782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洁厕液</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480g/瓶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468ml</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2675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草帽</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防水、黑色</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高筒、防水、黑色</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双</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35*75CM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条</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腈纶材质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海绵百洁布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海绵</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碧丽珠木地板护理精油</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灭鼠药剂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100g/包</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包</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灭蚊蝇药剂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玻璃清洁剂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2500ml/瓶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中性清洁剂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2.5KG/瓶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酸性清洁剂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5KG/瓶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全能水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2.5KG/瓶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不锈钢光亮剂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尘推牵引剂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2500ml/瓶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化油剂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地毯除渍剂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450ml/瓶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高泡地毯水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防霉杀菌剂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2600ml/瓶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化泡剂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603特效药剂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钢丝垫</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17寸</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大理石晶面处理液</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4kg/瓶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2L/个</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500g/袋</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3.8L/桶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魔术擦</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高分子纳米材质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起腊水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洗石水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蚊香</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12盘/盒</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盒</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地板蜡</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3.8L/桶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10个/袋</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尘掸</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可伸缩，不锈钢+纤维</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50.5*31.5*42CM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盒</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青苔净</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1kg/包</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包</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方锹</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平头，50cm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空气清新剂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320ml/瓶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警示带</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48mm宽*28米</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卷</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小心地滑牌</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塑料</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茶叶篮</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Ф35cm,塑料</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布艺沙发清洁剂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2500ml/桶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桶</w:t>
            </w:r>
            <w:r/>
          </w:p>
        </w:tc>
      </w:tr>
    </w:tbl>
    <w:p>
      <w:pPr>
        <w:pStyle w:val="741"/>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说明：以上表格仅供参考，请投标人自行踏勘后据实测算本项目保洁工具及耗材费用。</w:t>
      </w:r>
      <w:r/>
    </w:p>
    <w:p>
      <w:pPr>
        <w:spacing w:line="400" w:lineRule="exact"/>
        <w:rPr>
          <w:rFonts w:asciiTheme="minorEastAsia" w:hAnsiTheme="minorEastAsia" w:eastAsiaTheme="minorEastAsia"/>
          <w:b/>
          <w:i/>
          <w:iCs/>
          <w:sz w:val="24"/>
          <w:szCs w:val="24"/>
        </w:rPr>
      </w:pPr>
      <w:r>
        <w:rPr>
          <w:rFonts w:hint="eastAsia" w:asciiTheme="minorEastAsia" w:hAnsiTheme="minorEastAsia" w:eastAsiaTheme="minorEastAsia"/>
          <w:b/>
          <w:i/>
          <w:iCs/>
          <w:sz w:val="24"/>
          <w:szCs w:val="24"/>
        </w:rPr>
        <w:t xml:space="preserve">5.组织机构设置及人员配备具体要求</w:t>
      </w:r>
      <w:r/>
    </w:p>
    <w:p>
      <w:pPr>
        <w:pStyle w:val="746"/>
        <w:ind w:left="0"/>
        <w:spacing w:after="0" w:line="400" w:lineRule="exact"/>
        <w:rPr>
          <w:rFonts w:cs="宋体" w:asciiTheme="minorEastAsia" w:hAnsiTheme="minorEastAsia"/>
          <w:b/>
          <w:i/>
          <w:iCs/>
          <w:spacing w:val="10"/>
          <w:sz w:val="24"/>
        </w:rPr>
      </w:pPr>
      <w:r>
        <w:rPr>
          <w:rFonts w:hint="eastAsia" w:cs="宋体" w:asciiTheme="minorEastAsia" w:hAnsiTheme="minorEastAsia"/>
          <w:b/>
          <w:i/>
          <w:iCs/>
          <w:spacing w:val="10"/>
          <w:sz w:val="24"/>
        </w:rPr>
        <w:t xml:space="preserve">5.1组织机构设置要求</w:t>
      </w:r>
      <w:r/>
    </w:p>
    <w:p>
      <w:pPr>
        <w:pStyle w:val="764"/>
        <w:ind w:firstLine="480"/>
        <w:jc w:val="both"/>
        <w:spacing w:beforeAutospacing="0" w:afterAutospacing="0" w:line="0" w:lineRule="atLeast"/>
        <w:rPr>
          <w:rFonts w:cs="宋体" w:asciiTheme="minorEastAsia" w:hAnsiTheme="minorEastAsia" w:eastAsiaTheme="minorEastAsia"/>
          <w:i/>
          <w:iCs/>
          <w:szCs w:val="24"/>
        </w:rPr>
      </w:pPr>
      <w:r>
        <w:rPr>
          <w:rFonts w:hint="eastAsia" w:cs="宋体" w:asciiTheme="minorEastAsia" w:hAnsiTheme="minorEastAsia" w:eastAsiaTheme="minorEastAsia"/>
          <w:i/>
          <w:iCs/>
          <w:szCs w:val="24"/>
        </w:rPr>
        <w:t xml:space="preserve">投标供应商应根据采购人需求配备人员，不得低于招标文件中人数要求。</w:t>
      </w:r>
      <w:r/>
    </w:p>
    <w:p>
      <w:pPr>
        <w:pStyle w:val="746"/>
        <w:ind w:left="0"/>
        <w:spacing w:after="0" w:line="400" w:lineRule="exact"/>
        <w:rPr>
          <w:rFonts w:cs="宋体" w:asciiTheme="minorEastAsia" w:hAnsiTheme="minorEastAsia"/>
          <w:b/>
          <w:i/>
          <w:iCs/>
          <w:spacing w:val="10"/>
          <w:sz w:val="24"/>
        </w:rPr>
      </w:pPr>
      <w:r>
        <w:rPr>
          <w:rFonts w:hint="eastAsia" w:cs="宋体" w:asciiTheme="minorEastAsia" w:hAnsiTheme="minorEastAsia"/>
          <w:b/>
          <w:i/>
          <w:iCs/>
          <w:spacing w:val="10"/>
          <w:sz w:val="24"/>
        </w:rPr>
        <w:t xml:space="preserve">5.2人员配备</w:t>
      </w:r>
      <w:r/>
    </w:p>
    <w:tbl>
      <w:tblPr>
        <w:tblStyle w:val="740"/>
        <w:tblW w:w="9239"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702"/>
        <w:gridCol w:w="1474"/>
        <w:gridCol w:w="1151"/>
        <w:gridCol w:w="1387"/>
        <w:gridCol w:w="3525"/>
      </w:tblGrid>
      <w:tr>
        <w:trPr>
          <w:jc w:val="center"/>
          <w:trHeight w:val="535"/>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b/>
                <w:bCs/>
                <w:i/>
                <w:iCs/>
                <w:sz w:val="24"/>
                <w:szCs w:val="24"/>
              </w:rPr>
              <w:t xml:space="preserve">部门职能</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同时在岗人数</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岗位所需总人数</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人员要求（岗位所需服务时长或时段、需具备的上岗资格证、人员学历、工作经验等要求）</w:t>
            </w:r>
            <w:r/>
          </w:p>
        </w:tc>
      </w:tr>
      <w:tr>
        <w:trPr>
          <w:jc w:val="center"/>
          <w:trHeight w:val="93"/>
        </w:trPr>
        <w:tc>
          <w:tcPr>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ind w:firstLine="240"/>
              <w:rPr>
                <w:rFonts w:cs="宋体" w:asciiTheme="minorEastAsia" w:hAnsiTheme="minorEastAsia"/>
                <w:i/>
                <w:iCs/>
                <w:sz w:val="24"/>
              </w:rPr>
            </w:pPr>
            <w:r>
              <w:rPr>
                <w:rFonts w:hint="eastAsia" w:cs="宋体" w:asciiTheme="minorEastAsia" w:hAnsiTheme="minorEastAsia"/>
                <w:i/>
                <w:iCs/>
                <w:sz w:val="24"/>
              </w:rPr>
              <w:t xml:space="preserve">管理岗1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每天不低于8小时，每周6天。法定节假日根据采购人要求值班，须驻场服务，全面统筹整个项目的规划、执行、团队管理与风险管控，对服务质量、客户满意度全权负责。</w:t>
            </w:r>
            <w:r/>
          </w:p>
        </w:tc>
      </w:tr>
      <w:tr>
        <w:trPr>
          <w:jc w:val="center"/>
          <w:trHeight w:val="93"/>
        </w:trPr>
        <w:tc>
          <w:tcPr>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ind w:firstLine="240"/>
              <w:rPr>
                <w:rFonts w:cs="宋体" w:asciiTheme="minorEastAsia" w:hAnsiTheme="minorEastAsia"/>
                <w:i/>
                <w:iCs/>
                <w:sz w:val="24"/>
              </w:rPr>
            </w:pPr>
            <w:r>
              <w:rPr>
                <w:rFonts w:hint="eastAsia" w:cs="宋体" w:asciiTheme="minorEastAsia" w:hAnsiTheme="minorEastAsia"/>
                <w:i/>
                <w:iCs/>
                <w:sz w:val="24"/>
              </w:rPr>
              <w:t xml:space="preserve">管理岗2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rPr>
              <w:t xml:space="preserve">保洁主管</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每天不低于8小时，每周6天。法定节假日根据采购人要求值班，工作责任心强，有较强的服从意识和大局观，有较强的组织领导能力和协调能力，负责保洁服务工作的管理工作。</w:t>
            </w:r>
            <w:r/>
          </w:p>
        </w:tc>
      </w:tr>
      <w:tr>
        <w:trPr>
          <w:jc w:val="center"/>
          <w:trHeight w:val="93"/>
        </w:trPr>
        <w:tc>
          <w:tcPr>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ind w:firstLine="240"/>
              <w:rPr>
                <w:rFonts w:cs="宋体" w:asciiTheme="minorEastAsia" w:hAnsiTheme="minorEastAsia"/>
                <w:i/>
                <w:iCs/>
                <w:sz w:val="24"/>
              </w:rPr>
            </w:pPr>
            <w:r>
              <w:rPr>
                <w:rFonts w:hint="eastAsia" w:cs="宋体" w:asciiTheme="minorEastAsia" w:hAnsiTheme="minorEastAsia"/>
                <w:i/>
                <w:iCs/>
                <w:sz w:val="24"/>
              </w:rPr>
              <w:t xml:space="preserve">管理岗3</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ascii="宋体" w:hAnsi="宋体" w:cs="宋体"/>
                <w:sz w:val="24"/>
                <w:szCs w:val="21"/>
              </w:rPr>
              <w:t xml:space="preserve">绿化主管</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每天不低于8小时，每周6天。法定节假日根据采购人要求值班，工作责任心强，具有园林绿化养护管理经历，有较强的专业园林绿化知识和运用能力，有较强的组织领导能力和协调能力，负责绿化养护的管理工作。</w:t>
            </w:r>
            <w:r/>
          </w:p>
        </w:tc>
      </w:tr>
      <w:tr>
        <w:trPr>
          <w:jc w:val="center"/>
          <w:trHeight w:val="93"/>
        </w:trPr>
        <w:tc>
          <w:tcPr>
            <w:tcBorders>
              <w:top w:val="single" w:color="000000" w:sz="4" w:space="0"/>
              <w:left w:val="single" w:color="000000" w:sz="4" w:space="0"/>
              <w:right w:val="single" w:color="000000" w:sz="4" w:space="0"/>
            </w:tcBorders>
            <w:tcW w:w="1702"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保洁服务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rPr>
              <w:t xml:space="preserve">专项保洁员</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2</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2</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每天不低于8小时，每周6天。快速响应、全力执行采购人的各项工作指令与协调安排。包括但不限于地毯、地板、大理石、室内窗侧的不锈钢护栏等专项养护、清洁工作。</w:t>
            </w:r>
            <w:r/>
          </w:p>
        </w:tc>
      </w:tr>
      <w:tr>
        <w:trPr>
          <w:jc w:val="center"/>
          <w:trHeight w:val="93"/>
        </w:trPr>
        <w:tc>
          <w:tcPr>
            <w:tcBorders>
              <w:left w:val="single" w:color="000000" w:sz="4" w:space="0"/>
              <w:right w:val="single" w:color="000000" w:sz="4" w:space="0"/>
            </w:tcBorders>
            <w:tcW w:w="1702" w:type="dxa"/>
            <w:vAlign w:val="center"/>
            <w:vMerge w:val="continue"/>
            <w:textDirection w:val="lrTb"/>
            <w:noWrap w:val="false"/>
          </w:tcPr>
          <w:p>
            <w:pPr>
              <w:ind w:firstLine="240"/>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rPr>
              <w:t xml:space="preserve">河面清洁员</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每天不低于8小时，每周6天。</w:t>
            </w:r>
            <w:r>
              <w:rPr>
                <w:rFonts w:hint="eastAsia" w:cs="宋体" w:asciiTheme="minorEastAsia" w:hAnsiTheme="minorEastAsia" w:eastAsiaTheme="minorEastAsia"/>
                <w:i/>
                <w:iCs/>
                <w:sz w:val="24"/>
                <w:szCs w:val="24"/>
                <w:lang w:val="zh-CN"/>
              </w:rPr>
              <w:t xml:space="preserve">工作责任心强，有较强的服从意识和大局观，对人和蔼，工作中做到文明操作，礼貌待人。具有河面打捞、清洁的相关工作经验。</w:t>
            </w:r>
            <w:r/>
          </w:p>
        </w:tc>
      </w:tr>
      <w:tr>
        <w:trPr>
          <w:jc w:val="center"/>
          <w:trHeight w:val="1184"/>
        </w:trPr>
        <w:tc>
          <w:tcPr>
            <w:tcBorders>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保洁员</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t xml:space="preserve">≥</w:t>
            </w:r>
            <w:r>
              <w:rPr>
                <w:rFonts w:hint="eastAsia" w:cs="宋体" w:asciiTheme="minorEastAsia" w:hAnsiTheme="minorEastAsia"/>
                <w:i/>
                <w:iCs/>
                <w:sz w:val="24"/>
              </w:rPr>
              <w:t xml:space="preserve">64</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t xml:space="preserve">≥</w:t>
            </w:r>
            <w:r>
              <w:rPr>
                <w:rFonts w:hint="eastAsia" w:cs="宋体" w:asciiTheme="minorEastAsia" w:hAnsiTheme="minorEastAsia"/>
                <w:i/>
                <w:iCs/>
                <w:sz w:val="24"/>
              </w:rPr>
              <w:t xml:space="preserve">64</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lang w:val="zh-CN"/>
              </w:rPr>
            </w:pPr>
            <w:r>
              <w:rPr>
                <w:rFonts w:hint="eastAsia" w:cs="宋体" w:asciiTheme="minorEastAsia" w:hAnsiTheme="minorEastAsia" w:eastAsiaTheme="minorEastAsia"/>
                <w:i/>
                <w:iCs/>
                <w:sz w:val="24"/>
                <w:szCs w:val="24"/>
              </w:rPr>
              <w:t xml:space="preserve">每天不低于8小时，每周6天。</w:t>
            </w:r>
            <w:r>
              <w:rPr>
                <w:rFonts w:hint="eastAsia" w:cs="宋体" w:asciiTheme="minorEastAsia" w:hAnsiTheme="minorEastAsia" w:eastAsiaTheme="minorEastAsia"/>
                <w:i/>
                <w:iCs/>
                <w:sz w:val="24"/>
                <w:szCs w:val="24"/>
                <w:lang w:val="zh-CN"/>
              </w:rPr>
              <w:t xml:space="preserve">工作责任心强，有较强的服从意识和大局观，对人和蔼，工作中做到文明操作，礼貌待人</w:t>
            </w:r>
            <w:r>
              <w:rPr>
                <w:rFonts w:hint="eastAsia" w:cs="宋体" w:asciiTheme="minorEastAsia" w:hAnsiTheme="minorEastAsia" w:eastAsiaTheme="minorEastAsia"/>
                <w:i/>
                <w:iCs/>
                <w:sz w:val="24"/>
                <w:szCs w:val="24"/>
              </w:rPr>
              <w:t xml:space="preserve">。</w:t>
            </w:r>
            <w:r>
              <w:rPr>
                <w:rFonts w:hint="eastAsia" w:cs="宋体" w:asciiTheme="minorEastAsia" w:hAnsiTheme="minorEastAsia" w:eastAsiaTheme="minorEastAsia"/>
                <w:i/>
                <w:iCs/>
                <w:sz w:val="24"/>
                <w:szCs w:val="24"/>
                <w:lang w:val="zh-CN"/>
              </w:rPr>
              <w:t xml:space="preserve">法定节假日在岗率不低于30%（法定节假日加班（一年13天））。</w:t>
            </w:r>
            <w:r/>
          </w:p>
        </w:tc>
      </w:tr>
      <w:tr>
        <w:trPr>
          <w:jc w:val="center"/>
          <w:trHeight w:val="1184"/>
        </w:trPr>
        <w:tc>
          <w:tcPr>
            <w:tcBorders>
              <w:left w:val="single" w:color="000000" w:sz="4" w:space="0"/>
              <w:bottom w:val="single" w:color="000000" w:sz="4" w:space="0"/>
              <w:right w:val="single" w:color="000000" w:sz="4" w:space="0"/>
            </w:tcBorders>
            <w:tcW w:w="170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绿化养护服务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cs="宋体" w:asciiTheme="minorEastAsia" w:hAnsiTheme="minorEastAsia"/>
                <w:i/>
                <w:iCs/>
                <w:sz w:val="24"/>
              </w:rPr>
            </w:pPr>
            <w:r>
              <w:rPr>
                <w:rFonts w:hint="eastAsia" w:ascii="宋体" w:hAnsi="宋体" w:cs="宋体"/>
                <w:sz w:val="24"/>
                <w:szCs w:val="21"/>
              </w:rPr>
              <w:t xml:space="preserve">绿化工</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t xml:space="preserve">≥</w:t>
            </w:r>
            <w:r>
              <w:rPr>
                <w:rFonts w:hint="eastAsia" w:cs="宋体" w:asciiTheme="minorEastAsia" w:hAnsiTheme="minorEastAsia"/>
                <w:i/>
                <w:iCs/>
                <w:sz w:val="24"/>
              </w:rPr>
              <w:t xml:space="preserve">6</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t xml:space="preserve">≥</w:t>
            </w:r>
            <w:r>
              <w:rPr>
                <w:rFonts w:hint="eastAsia" w:cs="宋体" w:asciiTheme="minorEastAsia" w:hAnsiTheme="minorEastAsia"/>
                <w:i/>
                <w:iCs/>
                <w:sz w:val="24"/>
              </w:rPr>
              <w:t xml:space="preserve">6</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lang w:val="zh-CN"/>
              </w:rPr>
            </w:pPr>
            <w:r>
              <w:rPr>
                <w:rFonts w:hint="eastAsia" w:cs="宋体" w:asciiTheme="minorEastAsia" w:hAnsiTheme="minorEastAsia" w:eastAsiaTheme="minorEastAsia"/>
                <w:i/>
                <w:iCs/>
                <w:sz w:val="24"/>
                <w:szCs w:val="24"/>
              </w:rPr>
              <w:t xml:space="preserve">每天不低于8小时，每周6天。工作责任心强，具有园林绿化养护工作经历，有较强的专业园林绿化知识和运用能力。</w:t>
            </w:r>
            <w:r>
              <w:rPr>
                <w:rFonts w:hint="eastAsia" w:cs="宋体" w:asciiTheme="minorEastAsia" w:hAnsiTheme="minorEastAsia" w:eastAsiaTheme="minorEastAsia"/>
                <w:i/>
                <w:iCs/>
                <w:sz w:val="24"/>
                <w:szCs w:val="24"/>
                <w:lang w:val="zh-CN"/>
              </w:rPr>
              <w:t xml:space="preserve">法定节假日在岗率不低于30%（法定节假日加班（一年13天））。</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9239" w:type="dxa"/>
            <w:vAlign w:val="center"/>
            <w:textDirection w:val="lrTb"/>
            <w:noWrap w:val="false"/>
          </w:tcPr>
          <w:p>
            <w:pPr>
              <w:spacing w:line="300" w:lineRule="exact"/>
              <w:rPr>
                <w:rFonts w:cs="宋体" w:asciiTheme="minorEastAsia" w:hAnsiTheme="minorEastAsia"/>
                <w:b/>
                <w:i/>
                <w:iCs/>
                <w:sz w:val="24"/>
              </w:rPr>
            </w:pPr>
            <w:r>
              <w:rPr>
                <w:rFonts w:hint="eastAsia" w:cs="宋体" w:asciiTheme="minorEastAsia" w:hAnsiTheme="minorEastAsia" w:eastAsiaTheme="minorEastAsia"/>
                <w:b/>
                <w:i/>
                <w:iCs/>
                <w:sz w:val="24"/>
                <w:szCs w:val="24"/>
              </w:rPr>
              <w:t xml:space="preserve">备注：</w:t>
            </w:r>
            <w:r/>
          </w:p>
          <w:p>
            <w:pPr>
              <w:pStyle w:val="804"/>
              <w:ind w:left="122"/>
              <w:jc w:val="left"/>
              <w:spacing w:line="300" w:lineRule="exact"/>
              <w:rPr>
                <w:rFonts w:cs="宋体" w:asciiTheme="minorEastAsia" w:hAnsiTheme="minorEastAsia"/>
                <w:b/>
                <w:i/>
                <w:iCs/>
                <w:sz w:val="24"/>
              </w:rPr>
            </w:pPr>
            <w:r>
              <w:rPr>
                <w:rFonts w:hint="eastAsia" w:cs="宋体" w:asciiTheme="minorEastAsia" w:hAnsiTheme="minorEastAsia" w:eastAsiaTheme="minorEastAsia"/>
                <w:b/>
                <w:i/>
                <w:iCs/>
                <w:sz w:val="24"/>
                <w:szCs w:val="24"/>
              </w:rPr>
              <w:t xml:space="preserve">1、本项目为专门面向中小企业采购的服务项目，服务应由中小企业承接，</w:t>
            </w:r>
            <w:bookmarkStart w:id="208" w:name="OLE_LINK8"/>
            <w:r/>
            <w:bookmarkStart w:id="209" w:name="OLE_LINK7"/>
            <w:r>
              <w:rPr>
                <w:rFonts w:hint="eastAsia" w:cs="宋体" w:asciiTheme="minorEastAsia" w:hAnsiTheme="minorEastAsia" w:eastAsiaTheme="minorEastAsia"/>
                <w:b/>
                <w:i/>
                <w:iCs/>
                <w:sz w:val="24"/>
                <w:szCs w:val="24"/>
              </w:rPr>
              <w:t xml:space="preserve">为本项目提供服务的所有人员</w:t>
            </w:r>
            <w:bookmarkEnd w:id="208"/>
            <w:r/>
            <w:bookmarkEnd w:id="209"/>
            <w:r>
              <w:rPr>
                <w:rFonts w:hint="eastAsia" w:cs="宋体" w:asciiTheme="minorEastAsia" w:hAnsiTheme="minorEastAsia" w:eastAsiaTheme="minorEastAsia"/>
                <w:b/>
                <w:i/>
                <w:iCs/>
                <w:sz w:val="24"/>
                <w:szCs w:val="24"/>
              </w:rPr>
              <w:t xml:space="preserve">为中小企业依照《中华人民共和国劳动合同法》订立劳动合同的从业人员</w:t>
            </w:r>
            <w:r>
              <w:rPr>
                <w:rFonts w:hint="eastAsia" w:cs="宋体" w:asciiTheme="minorEastAsia" w:hAnsiTheme="minorEastAsia"/>
                <w:b/>
                <w:i/>
                <w:iCs/>
                <w:sz w:val="24"/>
                <w:szCs w:val="24"/>
              </w:rPr>
              <w:t xml:space="preserve">。 </w:t>
            </w:r>
            <w:r/>
          </w:p>
          <w:p>
            <w:pPr>
              <w:pStyle w:val="804"/>
              <w:ind w:left="-360" w:firstLine="482"/>
              <w:jc w:val="left"/>
              <w:spacing w:line="300" w:lineRule="exact"/>
              <w:rPr>
                <w:rFonts w:cs="宋体" w:asciiTheme="minorEastAsia" w:hAnsiTheme="minorEastAsia" w:eastAsiaTheme="minorEastAsia"/>
                <w:b/>
                <w:i/>
                <w:iCs/>
                <w:sz w:val="24"/>
                <w:szCs w:val="24"/>
              </w:rPr>
            </w:pPr>
            <w:r>
              <w:rPr>
                <w:rFonts w:hint="eastAsia" w:cs="宋体" w:asciiTheme="minorEastAsia" w:hAnsiTheme="minorEastAsia" w:eastAsiaTheme="minorEastAsia"/>
                <w:b/>
                <w:i/>
                <w:iCs/>
                <w:sz w:val="24"/>
                <w:szCs w:val="24"/>
              </w:rPr>
              <w:t xml:space="preserve">2、为本项目提供服务的所有人员必须缴纳公众责任险（第三方意外险）或雇主责</w:t>
            </w:r>
            <w:r/>
          </w:p>
          <w:p>
            <w:pPr>
              <w:pStyle w:val="804"/>
              <w:ind w:left="-360" w:firstLine="482"/>
              <w:jc w:val="left"/>
              <w:spacing w:line="300" w:lineRule="exact"/>
              <w:rPr>
                <w:rFonts w:cs="宋体" w:asciiTheme="minorEastAsia" w:hAnsiTheme="minorEastAsia" w:eastAsiaTheme="minorEastAsia"/>
                <w:b/>
                <w:i/>
                <w:iCs/>
                <w:sz w:val="24"/>
                <w:szCs w:val="24"/>
              </w:rPr>
            </w:pPr>
            <w:r>
              <w:rPr>
                <w:rFonts w:hint="eastAsia" w:cs="宋体" w:asciiTheme="minorEastAsia" w:hAnsiTheme="minorEastAsia" w:eastAsiaTheme="minorEastAsia"/>
                <w:b/>
                <w:i/>
                <w:iCs/>
                <w:sz w:val="24"/>
                <w:szCs w:val="24"/>
              </w:rPr>
              <w:t xml:space="preserve">任险。</w:t>
            </w:r>
            <w:r/>
          </w:p>
        </w:tc>
      </w:tr>
    </w:tbl>
    <w:p>
      <w:pPr>
        <w:spacing w:line="400" w:lineRule="exact"/>
        <w:rPr>
          <w:rFonts w:asciiTheme="minorEastAsia" w:hAnsiTheme="minorEastAsia" w:eastAsiaTheme="minorEastAsia"/>
          <w:b/>
          <w:bCs/>
          <w:i/>
          <w:iCs/>
          <w:sz w:val="24"/>
          <w:szCs w:val="24"/>
        </w:rPr>
      </w:pPr>
      <w:r>
        <w:rPr>
          <w:rFonts w:asciiTheme="minorEastAsia" w:hAnsiTheme="minorEastAsia" w:eastAsiaTheme="minorEastAsia"/>
          <w:b/>
          <w:bCs/>
          <w:i/>
          <w:iCs/>
          <w:sz w:val="24"/>
          <w:szCs w:val="24"/>
        </w:rPr>
      </w:r>
      <w:r/>
    </w:p>
    <w:p>
      <w:pPr>
        <w:spacing w:line="400" w:lineRule="exact"/>
        <w:rPr>
          <w:rFonts w:asciiTheme="minorEastAsia" w:hAnsiTheme="minorEastAsia"/>
          <w:b/>
          <w:bCs/>
          <w:i/>
          <w:iCs/>
          <w:sz w:val="24"/>
        </w:rPr>
      </w:pPr>
      <w:r>
        <w:rPr>
          <w:rFonts w:hint="eastAsia" w:asciiTheme="minorEastAsia" w:hAnsiTheme="minorEastAsia" w:eastAsiaTheme="minorEastAsia"/>
          <w:b/>
          <w:bCs/>
          <w:i/>
          <w:iCs/>
          <w:sz w:val="24"/>
          <w:szCs w:val="24"/>
        </w:rPr>
        <w:t xml:space="preserve">5.3人员配备其他要求</w:t>
      </w:r>
      <w:r/>
    </w:p>
    <w:p>
      <w:pPr>
        <w:ind w:firstLine="480"/>
        <w:spacing w:line="400" w:lineRule="exact"/>
        <w:rPr>
          <w:rFonts w:asciiTheme="minorEastAsia" w:hAnsiTheme="minorEastAsia"/>
          <w:i/>
          <w:iCs/>
          <w:sz w:val="24"/>
        </w:rPr>
      </w:pPr>
      <w:r>
        <w:rPr>
          <w:rFonts w:hint="eastAsia" w:asciiTheme="minorEastAsia" w:hAnsiTheme="minorEastAsia" w:eastAsiaTheme="minorEastAsia"/>
          <w:i/>
          <w:iCs/>
          <w:sz w:val="24"/>
          <w:szCs w:val="24"/>
        </w:rPr>
        <w:t xml:space="preserve">（1）本项目中标供应商用工不得违反劳动法等相关法律法规，须切实保障所聘人员的合法权益，保证其所聘人员符合采购人要求，并承担其未正确执行劳动用工等规定所产生的法律责任。</w:t>
      </w:r>
      <w:r/>
    </w:p>
    <w:p>
      <w:pPr>
        <w:ind w:firstLine="480"/>
        <w:spacing w:line="400" w:lineRule="exact"/>
        <w:rPr>
          <w:rFonts w:asciiTheme="minorEastAsia" w:hAnsiTheme="minorEastAsia"/>
          <w:i/>
          <w:iCs/>
          <w:sz w:val="24"/>
        </w:rPr>
      </w:pPr>
      <w:r>
        <w:rPr>
          <w:rFonts w:hint="eastAsia" w:asciiTheme="minorEastAsia" w:hAnsiTheme="minorEastAsia" w:eastAsiaTheme="minorEastAsia"/>
          <w:i/>
          <w:iCs/>
          <w:sz w:val="24"/>
          <w:szCs w:val="24"/>
        </w:rPr>
        <w:t xml:space="preserve">（2）自中标通知书发出8个工作日内，中标供应商须向采购人提供上述所有人员的人事档案资料，包括身份证、健康证明、学历证明等。中标供应商不得伪造人事档案欺骗采购人，如有此种情况发生，采购人可单方终止合同。</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（3）中标供应商须按上述要求配备人员。特殊情况下，短期内出现招工困难（10天内），不得不延长在职员工工时，须保证以不少于现有相关加班费标准发给加班的员工。</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（4）由于采购人及本项目的特殊性，要求投标人配备人员：</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1）所有拟配备人员，身体健康，无重大疾病和传染病，具备正常从事岗位工作所需要的身体条件。</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2）所有人员无犯罪记录、无恶习、无复杂社会关系。</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3）作业人员需经过岗前培训，培训内容包括作业规范、安全知识、设备操作等，经考核合格后方可上岗，投标人需建立培训档案，记录培训内容、时间、考核结果等，采购人有权查阅。</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4）管理人员需专职从事本项目日常作业管理工作，不得兼做其他工作。</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5）投标人需建立人员管理制度，明确各岗位工作职责、工作纪律、考核办法等，加强对人员的日常管理和考核。</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6）中标供应商应按照国家法律、法规和国家、省、市的规定，按月足额向人员发放工资，不得拖欠；同时按要求发放国家规定的各种补贴、加班费、福利待遇，为人员缴纳社会保险（按国家及地方相关规定执行），并为所有人员购买商业险（包括但不限于人身意外伤害险、第三者责任险等），相关费用已包含在投标价格中。</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7）履行合同时如产生债权债务、财产损失、人身伤害、劳动纠纷等问题，均由中标供应商承担。如因未购买保险造成的损失、纠纷，由中标供应商自行承担。保险期限应涵盖本合同期限。本项目全部服务人员的保险单复印件等列入项目档案管理范围，采购人有权查看。</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8）所有服务人员应坚守岗位，上岗统一着工作服（反光服），雨雪天气要着统一雨衣作业，整洁干净，作业工具按要求配备。严格按照清扫保洁作业规范作业，服务文明优质。清扫时不逆风、不扬尘，应主动避让行人，不得随意乱倒；必须在规定时间内完成好清扫保洁工作任务。在作业时严禁向沟塘坑渠内及房前屋后倾倒垃圾，将清扫的垃圾倒入指定的垃圾收集容器内，严禁在道路上中转焚烧垃圾，严禁将垃圾、积灰尘土、杂物倒入绿化带、墙边、路边以及果皮箱内或扫入下水道。</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（5）关于后期服务团队人员更换的相关要求：</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1)中标通知书发出后，中标供应商必须向采购人提交详细的《项目服务人员花名册》。该花名册应包含所有关键岗位及服务人员的姓名、身份证号、岗位职责、资质证书（如有）、联系方式等信息，并加盖供应商公章。  </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2)在合同履行期间，供应商须确保花名册中承诺的服务团队核心成员的稳定性。</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3)人员变更程序：如确因不可抗力、人员离职、疾病等特殊原因需要更换人员：供应商向采购人提交书面申请，说明更换原因，并提供拟替换人员的详细资料，替换人员须满足招标文件中的人员要求。</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4) 采购人有权根据考核结果（合格及以下的）责成供应商替换相关人员。</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5)违反后果：供应商违反本条规定（包括但不限于未按时提交花名册、擅自更换人员、替换人员资质不符等），采购人有权：</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①</w:t>
      </w:r>
      <w:r>
        <w:rPr>
          <w:rFonts w:hint="eastAsia" w:asciiTheme="minorEastAsia" w:hAnsiTheme="minorEastAsia" w:eastAsiaTheme="minorEastAsia"/>
          <w:i/>
          <w:iCs/>
          <w:sz w:val="24"/>
          <w:szCs w:val="24"/>
        </w:rPr>
        <w:t xml:space="preserve">物业考核时予以扣分；</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②</w:t>
      </w:r>
      <w:r>
        <w:rPr>
          <w:rFonts w:hint="eastAsia" w:asciiTheme="minorEastAsia" w:hAnsiTheme="minorEastAsia" w:eastAsiaTheme="minorEastAsia"/>
          <w:i/>
          <w:iCs/>
          <w:sz w:val="24"/>
          <w:szCs w:val="24"/>
        </w:rPr>
        <w:t xml:space="preserve">要求供应商限期改正；</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③</w:t>
      </w:r>
      <w:r>
        <w:rPr>
          <w:rFonts w:hint="eastAsia" w:asciiTheme="minorEastAsia" w:hAnsiTheme="minorEastAsia" w:eastAsiaTheme="minorEastAsia"/>
          <w:i/>
          <w:iCs/>
          <w:sz w:val="24"/>
          <w:szCs w:val="24"/>
        </w:rPr>
        <w:t xml:space="preserve">根据合同约定处以违约金；</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④</w:t>
      </w:r>
      <w:r>
        <w:rPr>
          <w:rFonts w:hint="eastAsia" w:asciiTheme="minorEastAsia" w:hAnsiTheme="minorEastAsia" w:eastAsiaTheme="minorEastAsia"/>
          <w:i/>
          <w:iCs/>
          <w:sz w:val="24"/>
          <w:szCs w:val="24"/>
        </w:rPr>
        <w:t xml:space="preserve">暂停支付相应合同款项；</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⑤</w:t>
      </w:r>
      <w:r>
        <w:rPr>
          <w:rFonts w:hint="eastAsia" w:asciiTheme="minorEastAsia" w:hAnsiTheme="minorEastAsia" w:eastAsiaTheme="minorEastAsia"/>
          <w:i/>
          <w:iCs/>
          <w:sz w:val="24"/>
          <w:szCs w:val="24"/>
        </w:rPr>
        <w:t xml:space="preserve">情节严重已经影响服务质量的，视为供应商违约，采购人有权部分或全部解除合同，并追究供应商的违约责任。</w:t>
      </w:r>
      <w:r/>
    </w:p>
    <w:p>
      <w:pPr>
        <w:spacing w:line="400" w:lineRule="exact"/>
        <w:rPr>
          <w:rFonts w:asciiTheme="minorEastAsia" w:hAnsiTheme="minorEastAsia"/>
          <w:b/>
          <w:i/>
          <w:iCs/>
          <w:sz w:val="24"/>
        </w:rPr>
      </w:pPr>
      <w:r>
        <w:rPr>
          <w:rFonts w:hint="eastAsia" w:asciiTheme="minorEastAsia" w:hAnsiTheme="minorEastAsia" w:eastAsiaTheme="minorEastAsia"/>
          <w:b/>
          <w:bCs/>
          <w:i/>
          <w:iCs/>
          <w:sz w:val="24"/>
          <w:szCs w:val="24"/>
        </w:rPr>
        <w:t xml:space="preserve">6.商务要求</w:t>
      </w:r>
      <w:r/>
    </w:p>
    <w:p>
      <w:pPr>
        <w:pStyle w:val="764"/>
        <w:spacing w:beforeAutospacing="0" w:afterAutospacing="0" w:line="400" w:lineRule="exact"/>
        <w:shd w:val="clear" w:color="auto" w:fill="ffffff"/>
        <w:rPr>
          <w:rStyle w:val="769"/>
          <w:rFonts w:cs="微软雅黑" w:asciiTheme="minorEastAsia" w:hAnsiTheme="minorEastAsia" w:eastAsiaTheme="minorEastAsia"/>
          <w:i/>
          <w:iCs/>
          <w:spacing w:val="8"/>
          <w:szCs w:val="24"/>
          <w:shd w:val="clear" w:color="auto" w:fill="ffffff"/>
        </w:rPr>
      </w:pPr>
      <w:r>
        <w:rPr>
          <w:rStyle w:val="769"/>
          <w:rFonts w:hint="eastAsia" w:cs="微软雅黑" w:asciiTheme="minorEastAsia" w:hAnsiTheme="minorEastAsia" w:eastAsiaTheme="minorEastAsia"/>
          <w:i/>
          <w:iCs/>
          <w:spacing w:val="8"/>
          <w:szCs w:val="24"/>
          <w:shd w:val="clear" w:color="auto" w:fill="ffffff"/>
        </w:rPr>
        <w:t xml:space="preserve">6.1投标报价说明</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1.报价须充分考虑服合同履行期内当地最低工资标准调整因素和社会保险基数调整因素。</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2.报价需充分考虑合同履行期内的市场因素和成本变化状况的风险。</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3.采购人不支付报价以外的任何费用。</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4.投标总报价一次报定,投标人报价应包含以下各项费用：</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（1）投标人支付的如开办费；管理费；服务人员的工资（包括加班工费）、社会</w:t>
      </w:r>
      <w:r>
        <w:rPr>
          <w:rFonts w:hint="eastAsia" w:asciiTheme="minorEastAsia" w:hAnsiTheme="minorEastAsia" w:eastAsiaTheme="minorEastAsia"/>
          <w:i/>
          <w:iCs/>
          <w:szCs w:val="24"/>
        </w:rPr>
        <w:t xml:space="preserve">保险、员工教育培训费、员工体检费、服装费、福利费、商业保险费等符合劳动合同法规定的必要费用；保洁、绿化等作业设备的购置、运行、折旧、维护费，保洁、绿化所需的用具、耗材费、税费、要求的各专业项目费；绿化养护服务所需日常用耗材、备件、易耗品等（不含水电气能耗费用），指单个物品价格在5000元以下，涉及绿化养护服务中各项服务内容的养护更换物品。政策性文件规定及合同包含的所有风险、责任等各项应有费用。投标人应当充分考虑服务内容及价格，保障本项目的服务品质；采购人不再承担相关费用及因人员辞退、工伤事故等造成的赔偿金。</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2）投标人的投标报价在合同执行过程中是固定的，不得以任何理由予以变更。投标报价为最终报价，投标人不得再要求追加任何费用。同时，除非合同条款中另有规定，否则，投标人所报价格在合同实施期间不因市场变化因素而变动,因国家或地方政策调整导致的费用变化除外。服务期内不作任何调整（除考核扣款以外）。</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（3）本项目的报价，按照各投标人方案确定的配置人员，参照市场价格和行业习惯的取费标准，充分考虑竞争因素方式进行报价。</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4）由于行政单位服务的特殊性，双休日、节假日，恶劣天气、重大活动、应急情况等均属于应提供正常物业管理服务的时间，投标人应予以充分考虑，将由此产生的所有费用纳入本次投标报价，采购人不再另行支付费用。</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5）如采购人在合同履行期间对服务人员进行统一管理发生费用（如服装费、培训费等），均由投标人承担。投标人应在报价时考虑上述因素，无论是否列入费用，采购人将一律视为总报价已包括可能产生的该项费用。</w:t>
      </w:r>
      <w:r/>
    </w:p>
    <w:p>
      <w:pPr>
        <w:pStyle w:val="764"/>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（6）在合同期内社保基金调整的费用由投标人承担。</w:t>
      </w:r>
      <w:r/>
    </w:p>
    <w:p>
      <w:pPr>
        <w:pStyle w:val="764"/>
        <w:spacing w:beforeAutospacing="0" w:afterAutospacing="0" w:line="400" w:lineRule="exact"/>
        <w:shd w:val="clear" w:color="auto" w:fill="ffffff"/>
        <w:rPr>
          <w:rFonts w:cs="微软雅黑" w:asciiTheme="minorEastAsia" w:hAnsiTheme="minorEastAsia"/>
          <w:i/>
          <w:iCs/>
          <w:spacing w:val="8"/>
        </w:rPr>
      </w:pPr>
      <w:r>
        <w:rPr>
          <w:rStyle w:val="769"/>
          <w:rFonts w:hint="eastAsia" w:cs="微软雅黑" w:asciiTheme="minorEastAsia" w:hAnsiTheme="minorEastAsia" w:eastAsiaTheme="minorEastAsia"/>
          <w:i/>
          <w:iCs/>
          <w:spacing w:val="8"/>
          <w:szCs w:val="24"/>
          <w:shd w:val="clear" w:color="auto" w:fill="ffffff"/>
        </w:rPr>
        <w:t xml:space="preserve">6.2实施期限</w:t>
      </w:r>
      <w:r/>
    </w:p>
    <w:p>
      <w:pPr>
        <w:pStyle w:val="775"/>
        <w:ind w:firstLine="480"/>
        <w:rPr>
          <w:rFonts w:cs="宋体"/>
          <w:i/>
          <w:iCs/>
          <w:sz w:val="24"/>
          <w:szCs w:val="24"/>
        </w:rPr>
      </w:pPr>
      <w:r>
        <w:rPr>
          <w:rFonts w:hint="eastAsia" w:cs="宋体"/>
          <w:i/>
          <w:iCs/>
          <w:sz w:val="24"/>
          <w:szCs w:val="24"/>
        </w:rPr>
        <w:t xml:space="preserve">自2026年2月1日至2027年12月31日</w:t>
      </w:r>
      <w:r>
        <w:rPr>
          <w:rFonts w:cs="宋体"/>
          <w:i/>
          <w:iCs/>
          <w:sz w:val="24"/>
          <w:szCs w:val="24"/>
        </w:rPr>
        <w:t xml:space="preserve">。本项目采取一次招标</w:t>
      </w:r>
      <w:r>
        <w:rPr>
          <w:rFonts w:hint="eastAsia" w:cs="宋体"/>
          <w:i/>
          <w:iCs/>
          <w:sz w:val="24"/>
          <w:szCs w:val="24"/>
        </w:rPr>
        <w:t xml:space="preserve">23个月</w:t>
      </w:r>
      <w:r>
        <w:rPr>
          <w:rFonts w:cs="宋体"/>
          <w:i/>
          <w:iCs/>
          <w:sz w:val="24"/>
          <w:szCs w:val="24"/>
        </w:rPr>
        <w:t xml:space="preserve">、实行一年一签合同、分期考核、分期付款的方法。</w:t>
      </w:r>
      <w:r>
        <w:rPr>
          <w:rFonts w:hint="eastAsia" w:cs="宋体"/>
          <w:i/>
          <w:iCs/>
          <w:sz w:val="24"/>
          <w:szCs w:val="24"/>
        </w:rPr>
        <w:t xml:space="preserve">每年合同期满后（第一年从2026年2月1日至2026年12月31日，第二年从2027年1月1日至2027年12月31日），采购人根据相关政策以及中标供应商服务质量考核情况与中标供应商续签下一年合同，如出现考核不合格或采购人预算调整或服务内容重大变更等事项，则不续签。</w:t>
      </w:r>
      <w:r/>
    </w:p>
    <w:p>
      <w:pPr>
        <w:pStyle w:val="764"/>
        <w:spacing w:beforeAutospacing="0" w:afterAutospacing="0" w:line="400" w:lineRule="exact"/>
        <w:shd w:val="clear" w:color="auto" w:fill="ffffff"/>
        <w:rPr>
          <w:rFonts w:cs="微软雅黑" w:asciiTheme="minorEastAsia" w:hAnsiTheme="minorEastAsia"/>
          <w:i/>
          <w:iCs/>
          <w:spacing w:val="8"/>
        </w:rPr>
      </w:pPr>
      <w:r>
        <w:rPr>
          <w:rStyle w:val="769"/>
          <w:rFonts w:hint="eastAsia" w:cs="微软雅黑" w:asciiTheme="minorEastAsia" w:hAnsiTheme="minorEastAsia" w:eastAsiaTheme="minorEastAsia"/>
          <w:i/>
          <w:iCs/>
          <w:spacing w:val="8"/>
          <w:szCs w:val="24"/>
          <w:shd w:val="clear" w:color="auto" w:fill="ffffff"/>
        </w:rPr>
        <w:t xml:space="preserve">6.3付款方式</w:t>
      </w:r>
      <w:r/>
    </w:p>
    <w:p>
      <w:pPr>
        <w:pStyle w:val="764"/>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6.3.1付款方式：服务费每季度结算一次 ，乙方于到期支付前10日提出付款申请，并依据合同约定及考核情况结算季度服务费用（开具正式发票）。本项目价款一律通过银行非现金结算，汇入中标人账户。</w:t>
      </w:r>
      <w:r/>
    </w:p>
    <w:p>
      <w:pPr>
        <w:pStyle w:val="764"/>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6.3.2付款前提条件：供应商申请支付合同款项时，必须同时向采购人提交以下证明材料：</w:t>
      </w:r>
      <w:r/>
    </w:p>
    <w:p>
      <w:pPr>
        <w:pStyle w:val="764"/>
        <w:numPr>
          <w:ilvl w:val="0"/>
          <w:numId w:val="9"/>
        </w:numPr>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经供应商盖章确认的、申请付款周期内（即上一季度）所有项目服务人员的工资发放明细表（须包含人员姓名、发放月份、应发工资金额、实发工资金额、银行流水单号或清晰的银行转账凭证等关键信息）。</w:t>
      </w:r>
      <w:r/>
    </w:p>
    <w:p>
      <w:pPr>
        <w:pStyle w:val="764"/>
        <w:numPr>
          <w:ilvl w:val="0"/>
          <w:numId w:val="9"/>
        </w:numPr>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由社保征收机构出具的、申请付款周期内（即上一季度）所有项目服务人员的社会保险缴纳证明凭证（须清晰显示缴纳单位、人员姓名、身份证号、险种、缴费基数、缴费月份等）。</w:t>
      </w:r>
      <w:r/>
    </w:p>
    <w:p>
      <w:pPr>
        <w:pStyle w:val="764"/>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6.3.3付款决定：</w:t>
      </w:r>
      <w:r/>
    </w:p>
    <w:p>
      <w:pPr>
        <w:pStyle w:val="764"/>
        <w:numPr>
          <w:ilvl w:val="0"/>
          <w:numId w:val="10"/>
        </w:numPr>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若上述6.3.2所提供的材料真实、完整、有效，且能证明供应商履约符合招标文件及合同约定，同时当期服务考核结果满足合同约定的支付条件，则采购人按合同约定比例和金额支付该期款项。</w:t>
      </w:r>
      <w:r/>
    </w:p>
    <w:p>
      <w:pPr>
        <w:pStyle w:val="764"/>
        <w:numPr>
          <w:ilvl w:val="0"/>
          <w:numId w:val="10"/>
        </w:numPr>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若上述6.3.2所提供的材料缺失、无效、不完整，或经核实证明供应商投入的人员数量、资质不符合招标文件及合同约定，或当期服务考核结果未满足合同约定的支付条件，采购人有权：</w:t>
      </w:r>
      <w:r/>
    </w:p>
    <w:p>
      <w:pPr>
        <w:pStyle w:val="764"/>
        <w:numPr>
          <w:ilvl w:val="0"/>
          <w:numId w:val="11"/>
        </w:numPr>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要求供应商补充材料或说明；</w:t>
      </w:r>
      <w:r/>
    </w:p>
    <w:p>
      <w:pPr>
        <w:pStyle w:val="764"/>
        <w:numPr>
          <w:ilvl w:val="0"/>
          <w:numId w:val="11"/>
        </w:numPr>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暂停支付全部或部分该期款项；</w:t>
      </w:r>
      <w:r/>
    </w:p>
    <w:p>
      <w:pPr>
        <w:pStyle w:val="764"/>
        <w:numPr>
          <w:ilvl w:val="0"/>
          <w:numId w:val="11"/>
        </w:numPr>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根据考核结果和合同约定，扣减相应比例的合同款项作为违约金；</w:t>
      </w:r>
      <w:r/>
    </w:p>
    <w:p>
      <w:pPr>
        <w:pStyle w:val="764"/>
        <w:numPr>
          <w:ilvl w:val="0"/>
          <w:numId w:val="11"/>
        </w:numPr>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视情节严重程度，启动违约处理程序。</w:t>
      </w:r>
      <w:r/>
    </w:p>
    <w:p>
      <w:pPr>
        <w:pStyle w:val="764"/>
        <w:ind w:left="60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（3）供应商提供虚假材料的，一经查实，采购人有权立即暂停或终止付款，并视为严重违约，可依据合同条款追究其一切法律责任。</w:t>
      </w:r>
      <w:r/>
    </w:p>
    <w:p>
      <w:pPr>
        <w:pStyle w:val="764"/>
        <w:spacing w:beforeAutospacing="0" w:afterAutospacing="0" w:line="400" w:lineRule="exact"/>
        <w:shd w:val="clear" w:color="auto" w:fill="ffffff"/>
        <w:rPr>
          <w:rStyle w:val="769"/>
          <w:rFonts w:cs="微软雅黑" w:asciiTheme="minorEastAsia" w:hAnsiTheme="minorEastAsia" w:eastAsiaTheme="minorEastAsia"/>
          <w:i/>
          <w:iCs/>
          <w:spacing w:val="8"/>
          <w:szCs w:val="24"/>
          <w:shd w:val="clear" w:color="auto" w:fill="ffffff"/>
        </w:rPr>
      </w:pPr>
      <w:r>
        <w:rPr>
          <w:rStyle w:val="769"/>
          <w:rFonts w:hint="eastAsia" w:cs="微软雅黑" w:asciiTheme="minorEastAsia" w:hAnsiTheme="minorEastAsia" w:eastAsiaTheme="minorEastAsia"/>
          <w:i/>
          <w:iCs/>
          <w:spacing w:val="8"/>
          <w:szCs w:val="24"/>
          <w:shd w:val="clear" w:color="auto" w:fill="ffffff"/>
        </w:rPr>
        <w:t xml:space="preserve">6.4 验收标准与要求</w:t>
      </w:r>
      <w:r/>
    </w:p>
    <w:p>
      <w:pPr>
        <w:pStyle w:val="764"/>
        <w:spacing w:beforeAutospacing="0" w:afterAutospacing="0" w:line="440" w:lineRule="exact"/>
        <w:shd w:val="clear" w:color="auto" w:fill="ffffff"/>
        <w:rPr>
          <w:rStyle w:val="769"/>
          <w:rFonts w:cs="微软雅黑" w:asciiTheme="minorEastAsia" w:hAnsiTheme="minorEastAsia" w:eastAsiaTheme="minorEastAsia"/>
          <w:b w:val="0"/>
          <w:bCs/>
          <w:i/>
          <w:iCs/>
          <w:spacing w:val="8"/>
          <w:szCs w:val="24"/>
          <w:shd w:val="clear" w:color="auto" w:fill="ffffff"/>
        </w:rPr>
      </w:pPr>
      <w:r>
        <w:rPr>
          <w:rStyle w:val="769"/>
          <w:rFonts w:hint="eastAsia" w:cs="微软雅黑" w:asciiTheme="minorEastAsia" w:hAnsiTheme="minorEastAsia" w:eastAsiaTheme="minorEastAsia"/>
          <w:b w:val="0"/>
          <w:bCs/>
          <w:i/>
          <w:iCs/>
          <w:spacing w:val="8"/>
          <w:szCs w:val="24"/>
          <w:shd w:val="clear" w:color="auto" w:fill="ffffff"/>
        </w:rPr>
        <w:t xml:space="preserve">6.4.1检查考核</w:t>
      </w:r>
      <w:r/>
    </w:p>
    <w:p>
      <w:pPr>
        <w:pStyle w:val="764"/>
        <w:spacing w:beforeAutospacing="0" w:afterAutospacing="0" w:line="440" w:lineRule="exact"/>
        <w:shd w:val="clear" w:color="auto" w:fill="ffffff"/>
        <w:rPr>
          <w:rStyle w:val="769"/>
          <w:rFonts w:cs="微软雅黑" w:asciiTheme="minorEastAsia" w:hAnsiTheme="minorEastAsia" w:eastAsiaTheme="minorEastAsia"/>
          <w:b w:val="0"/>
          <w:i/>
          <w:iCs/>
          <w:spacing w:val="8"/>
          <w:shd w:val="clear" w:color="auto" w:fill="ffffff"/>
        </w:rPr>
      </w:pPr>
      <w:r>
        <w:rPr>
          <w:rStyle w:val="769"/>
          <w:rFonts w:hint="eastAsia" w:cs="微软雅黑" w:asciiTheme="minorEastAsia" w:hAnsiTheme="minorEastAsia" w:eastAsiaTheme="minorEastAsia"/>
          <w:b w:val="0"/>
          <w:i/>
          <w:iCs/>
          <w:spacing w:val="8"/>
          <w:szCs w:val="24"/>
          <w:shd w:val="clear" w:color="auto" w:fill="ffffff"/>
        </w:rPr>
        <w:t xml:space="preserve">（1）采购人有权利在服务期限内依据招标文件、合同中规定的服务内容及标准要求、相关规定等，对中标供应商的服务质量、业主满意度等进行定期或随机的检查考核；定期考核每季度一次。每年12月底汇总每次考核成绩为年度考核成绩，当年度考核成绩合格续签下一年度合同，年度考核成绩不合格业主方有权终止与该中标供应商的合同，且不承担由此造成的损失。</w:t>
      </w:r>
      <w:r/>
    </w:p>
    <w:p>
      <w:pPr>
        <w:pStyle w:val="764"/>
        <w:spacing w:beforeAutospacing="0" w:afterAutospacing="0" w:line="440" w:lineRule="exact"/>
        <w:shd w:val="clear" w:color="auto" w:fill="ffffff"/>
        <w:rPr>
          <w:rStyle w:val="769"/>
          <w:rFonts w:cs="微软雅黑" w:asciiTheme="minorEastAsia" w:hAnsiTheme="minorEastAsia" w:eastAsiaTheme="minorEastAsia"/>
          <w:b w:val="0"/>
          <w:i/>
          <w:iCs/>
          <w:spacing w:val="8"/>
          <w:shd w:val="clear" w:color="auto" w:fill="ffffff"/>
        </w:rPr>
      </w:pPr>
      <w:r>
        <w:rPr>
          <w:rStyle w:val="769"/>
          <w:rFonts w:hint="eastAsia" w:cs="微软雅黑" w:asciiTheme="minorEastAsia" w:hAnsiTheme="minorEastAsia" w:eastAsiaTheme="minorEastAsia"/>
          <w:b w:val="0"/>
          <w:i/>
          <w:iCs/>
          <w:spacing w:val="8"/>
          <w:szCs w:val="24"/>
          <w:shd w:val="clear" w:color="auto" w:fill="ffffff"/>
        </w:rPr>
        <w:t xml:space="preserve">（2）考核方式可由业主自行组织进行，采取定期检查、随机抽查、采购人各部门评分等但不仅限以上方式进行考核。考核实行打分制，满分为100分，合格分为95分。</w:t>
      </w:r>
      <w:r/>
    </w:p>
    <w:p>
      <w:pPr>
        <w:pStyle w:val="764"/>
        <w:spacing w:beforeAutospacing="0" w:afterAutospacing="0" w:line="440" w:lineRule="exact"/>
        <w:shd w:val="clear" w:color="auto" w:fill="ffffff"/>
        <w:rPr>
          <w:rStyle w:val="769"/>
          <w:rFonts w:cs="微软雅黑" w:asciiTheme="minorEastAsia" w:hAnsiTheme="minorEastAsia" w:eastAsiaTheme="minorEastAsia"/>
          <w:b w:val="0"/>
          <w:i/>
          <w:iCs/>
          <w:spacing w:val="8"/>
          <w:shd w:val="clear" w:color="auto" w:fill="ffffff"/>
        </w:rPr>
      </w:pPr>
      <w:r>
        <w:rPr>
          <w:rStyle w:val="769"/>
          <w:rFonts w:hint="eastAsia" w:cs="微软雅黑" w:asciiTheme="minorEastAsia" w:hAnsiTheme="minorEastAsia" w:eastAsiaTheme="minorEastAsia"/>
          <w:b w:val="0"/>
          <w:i/>
          <w:iCs/>
          <w:spacing w:val="8"/>
          <w:szCs w:val="24"/>
          <w:shd w:val="clear" w:color="auto" w:fill="ffffff"/>
        </w:rPr>
        <w:t xml:space="preserve">（3）业主依据招标文件、合同中规定的服务内容及标准要求等，制定、实施项目管理服务百分制考核制度并做好检查考核各方面的记录工作。考核标准双方在合同中明确。</w:t>
      </w:r>
      <w:r/>
    </w:p>
    <w:p>
      <w:pPr>
        <w:pStyle w:val="764"/>
        <w:spacing w:beforeAutospacing="0" w:afterAutospacing="0" w:line="440" w:lineRule="exact"/>
        <w:shd w:val="clear" w:color="auto" w:fill="ffffff"/>
        <w:rPr>
          <w:rStyle w:val="769"/>
          <w:rFonts w:cs="微软雅黑" w:asciiTheme="minorEastAsia" w:hAnsiTheme="minorEastAsia" w:eastAsiaTheme="minorEastAsia"/>
          <w:i/>
          <w:iCs/>
          <w:spacing w:val="8"/>
          <w:shd w:val="clear" w:color="auto" w:fill="ffffff"/>
        </w:rPr>
      </w:pPr>
      <w:r>
        <w:rPr>
          <w:rStyle w:val="769"/>
          <w:rFonts w:hint="eastAsia" w:cs="微软雅黑" w:asciiTheme="minorEastAsia" w:hAnsiTheme="minorEastAsia"/>
          <w:i/>
          <w:iCs/>
          <w:spacing w:val="8"/>
          <w:szCs w:val="24"/>
          <w:shd w:val="clear" w:color="auto" w:fill="ffffff"/>
        </w:rPr>
        <w:t xml:space="preserve">6.4.2</w:t>
      </w:r>
      <w:r>
        <w:rPr>
          <w:rStyle w:val="769"/>
          <w:rFonts w:hint="eastAsia" w:cs="微软雅黑" w:asciiTheme="minorEastAsia" w:hAnsiTheme="minorEastAsia" w:eastAsiaTheme="minorEastAsia"/>
          <w:i/>
          <w:iCs/>
          <w:spacing w:val="8"/>
          <w:szCs w:val="24"/>
          <w:shd w:val="clear" w:color="auto" w:fill="ffffff"/>
        </w:rPr>
        <w:t xml:space="preserve">考核标准</w:t>
      </w:r>
      <w:r/>
    </w:p>
    <w:tbl>
      <w:tblPr>
        <w:tblStyle w:val="74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470"/>
        <w:gridCol w:w="865"/>
        <w:gridCol w:w="3294"/>
        <w:gridCol w:w="899"/>
      </w:tblGrid>
      <w:tr>
        <w:trPr>
          <w:trHeight w:val="682"/>
        </w:trPr>
        <w:tc>
          <w:tcPr>
            <w:gridSpan w:val="4"/>
            <w:shd w:val="clear" w:color="auto" w:fill="auto"/>
            <w:tcBorders>
              <w:top w:val="single" w:color="000000" w:sz="4" w:space="0"/>
              <w:left w:val="single" w:color="000000" w:sz="4" w:space="0"/>
              <w:right w:val="single" w:color="000000" w:sz="4" w:space="0"/>
            </w:tcBorders>
            <w:tcW w:w="5000" w:type="pct"/>
            <w:vAlign w:val="center"/>
            <w:textDirection w:val="lrTb"/>
            <w:noWrap w:val="false"/>
          </w:tcPr>
          <w:p>
            <w:pPr>
              <w:ind w:firstLine="480"/>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****服务</w:t>
            </w:r>
            <w:bookmarkStart w:id="244" w:name="_GoBack"/>
            <w:r/>
            <w:bookmarkEnd w:id="244"/>
            <w:r>
              <w:rPr>
                <w:rFonts w:hint="eastAsia" w:cs="宋体" w:asciiTheme="minorEastAsia" w:hAnsiTheme="minorEastAsia" w:eastAsiaTheme="minorEastAsia"/>
                <w:i/>
                <w:iCs/>
                <w:sz w:val="24"/>
                <w:szCs w:val="24"/>
              </w:rPr>
              <w:t xml:space="preserve">季度考核表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考核</w:t>
            </w:r>
            <w:r/>
          </w:p>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得分</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（一）综合管理 </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1.有完善的管理方案，制定预防、处置各类突发事件的工作预案。重大活动需提前制定工作方案，上报职能处室。</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每少一项扣除 1 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654"/>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2.工作人员文明服务、工作服着装统一、整洁。</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每发现一项不符合规定，扣 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3.项目负责人定期与采购人沟通联系，共同解决管理过程中遇到的问题，化解矛盾。</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产生的问题、矛盾不能及时解决，有1项扣1分，扣完为止。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4.每季度至少开展 1 次岗位技能、职业素质、服务知识、客户文化、绿色节能环保等教育培训，并进行适当形式的考核。定期或不定期召开员工会议，总结前一周工作，布置下阶段任务。</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查看会议记录，每月至少 3次会议，缺少 1 次扣 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5.配合采购人相关职能部门开展各项活动。</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未能及时有效完成的，每一项扣2分。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（二）保洁服务</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1.按时到岗，准备充分，中途不离岗、串岗。工作期间举止文明，不做与工作无关的事情。</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迟到、离岗、串岗、看视频等违规现象，每检查发现1人次，扣2分。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rPr>
            </w:pPr>
            <w:r>
              <w:rPr>
                <w:rFonts w:hint="eastAsia" w:cs="Arial" w:asciiTheme="minorEastAsia" w:hAnsiTheme="minorEastAsia" w:eastAsiaTheme="minorEastAsia"/>
                <w:i/>
                <w:iCs/>
                <w:sz w:val="24"/>
                <w:szCs w:val="24"/>
              </w:rPr>
              <w:t xml:space="preserve">2.保持路面整洁，无纸屑、口罩、包装袋、树枝等杂物。雨雪天要及时清扫区域积水或积雪，对道路边缘和路面沉积的灰上要及时清扫干净。</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widowControl/>
              <w:rPr>
                <w:rFonts w:cs="Arial" w:asciiTheme="minorEastAsia" w:hAnsiTheme="minorEastAsia" w:eastAsiaTheme="minorEastAsia"/>
                <w:i/>
                <w:iCs/>
                <w:sz w:val="24"/>
              </w:rPr>
            </w:pPr>
            <w:r>
              <w:rPr>
                <w:rFonts w:hint="eastAsia" w:cs="Arial" w:asciiTheme="minorEastAsia" w:hAnsiTheme="minorEastAsia" w:eastAsiaTheme="minorEastAsia"/>
                <w:i/>
                <w:iCs/>
                <w:sz w:val="24"/>
                <w:szCs w:val="24"/>
              </w:rPr>
              <w:t xml:space="preserve">发现一处地面有较多纸屑、杂物，不整洁，一次扣1分。未及时清扫区域积水或积雪，一次</w:t>
            </w:r>
            <w:r>
              <w:rPr>
                <w:rFonts w:cs="Arial" w:asciiTheme="minorEastAsia" w:hAnsiTheme="minorEastAsia" w:eastAsiaTheme="minorEastAsia"/>
                <w:i/>
                <w:iCs/>
                <w:sz w:val="24"/>
                <w:szCs w:val="24"/>
              </w:rPr>
              <w:t xml:space="preserve">扣1分</w:t>
            </w:r>
            <w:r>
              <w:rPr>
                <w:rFonts w:hint="eastAsia" w:cs="Arial" w:asciiTheme="minorEastAsia" w:hAnsiTheme="minorEastAsia" w:eastAsiaTheme="minorEastAsia"/>
                <w:i/>
                <w:iCs/>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61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3.及时清理垃圾箱（桶）内杂物，垃圾箱（桶）定期清洗，垃圾桶垃圾不能超过3/4，保持清洁。垃圾桶外观质量正常。根据采购人要求，做好垃圾分类工作。</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widowControl/>
              <w:rPr>
                <w:rFonts w:asciiTheme="minorEastAsia" w:hAnsiTheme="minorEastAsia"/>
                <w:i/>
                <w:iCs/>
                <w:sz w:val="24"/>
              </w:rPr>
            </w:pPr>
            <w:r>
              <w:rPr>
                <w:rFonts w:hint="eastAsia" w:cs="Arial" w:asciiTheme="minorEastAsia" w:hAnsiTheme="minorEastAsia" w:eastAsiaTheme="minorEastAsia"/>
                <w:i/>
                <w:iCs/>
                <w:sz w:val="24"/>
                <w:szCs w:val="24"/>
              </w:rPr>
              <w:t xml:space="preserve">发现垃圾桶未及时清理，一次1分；发现垃圾桶损坏未及时更换，</w:t>
            </w:r>
            <w:r>
              <w:rPr>
                <w:rFonts w:hint="eastAsia" w:cs="宋体" w:asciiTheme="minorEastAsia" w:hAnsiTheme="minorEastAsia" w:eastAsiaTheme="minorEastAsia"/>
                <w:i/>
                <w:iCs/>
                <w:sz w:val="24"/>
                <w:szCs w:val="24"/>
              </w:rPr>
              <w:t xml:space="preserve">一次 1 分；垃圾桶外壁脏，有异味，有1个，扣1分；</w:t>
            </w:r>
            <w:r/>
          </w:p>
          <w:p>
            <w:pPr>
              <w:jc w:val="center"/>
              <w:widowControl/>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4.广场路面、各楼宇内外、地下车库、廊道、绿化带、水池内等公共区域保持全天候整洁，无乱堆乱放现象，无漂浮物、生活垃圾。</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发现一处不整洁现象，扣1分。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5.卫生间及时打扫，确保地面洁净、干爽、无积水，及时处理便槽内杂物，便槽无污物堆积现象。卫生间无异味。确保卫生间玻璃镜面干净、无污渍。</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定期检查，发现有污垢、有异味，一次（处)扣1分。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6.保持卫生间洗手台面、龙头、门窗、搁板清洁，无积水、污迹。拖把池间、残卫间物放有序，无垃圾堆放。</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检查现场，发现 1处不达标，扣1分。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74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7.做好流行病高发期间区域消杀工作。</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视消杀效果酌情扣分。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8.保管好打扫、保洁工具，摆放、晾晒、处置时，不影响政府机关形象。 </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发现保洁工具乱放，影响整洁，扣 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（二）绿化养护</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ind w:firstLine="240"/>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cs="Arial" w:asciiTheme="minorEastAsia" w:hAnsiTheme="minorEastAsia" w:eastAsiaTheme="minorEastAsia"/>
                <w:i/>
                <w:i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绿化养护人员在工作场所和从事业务是应着装整洁，穿工作服，使用规范语言，工作期间不得大声喧哗（2分）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上班期间不注意仪表仪容，引起投诉的扣1分；不穿工作服教育后不执行扣1分；工作期间发生不喧哗不符合管理规定有一次扣1-2分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绿化养护要熟悉种植的花草树木、养护管理程序（</w:t>
            </w:r>
            <w:r>
              <w:rPr>
                <w:rFonts w:hint="eastAsia" w:cs="Arial" w:asciiTheme="minorEastAsia" w:hAnsiTheme="minorEastAsia" w:eastAsiaTheme="minorEastAsia"/>
                <w:i/>
                <w:iCs/>
                <w:szCs w:val="24"/>
                <w:lang w:val="en-US" w:eastAsia="zh-CN"/>
              </w:rPr>
              <w:t xml:space="preserve">1</w:t>
            </w:r>
            <w:r>
              <w:rPr>
                <w:rFonts w:hint="eastAsia" w:cs="Arial" w:asciiTheme="minorEastAsia" w:hAnsiTheme="minorEastAsia" w:eastAsiaTheme="minorEastAsia"/>
                <w:i/>
                <w:iCs/>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4"/>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未按规定养护，发现一次扣0.5-1分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绿化养护管理到位，长势良好，保存率达100%（2分）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保存率低于98%，有一项扣0.2分</w:t>
            </w:r>
            <w:r/>
          </w:p>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种植面有黄土暴露、空秃大于1㎡有一项扣0.2分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植物日常修剪、除草、养护及时到位，修剪面整齐划一，目测一条线或光滑曲面。缺株视季节及时补种。（2分）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枝下高低于2.5米，有一项扣0.2分；绿篱、色块新梢超过10厘米，有一项扣0.2分；补种植物与原有植物不一致无情况说明的扣0.5分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草坪养护保持平整美观，绿期340天以上，留茬4厘米以下。（2分）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草坪高度超过8厘米有一项扣0.2分；</w:t>
            </w:r>
            <w:r/>
          </w:p>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草坪黄化、退化、死亡面积大于4㎡有一项扣0.2分；</w:t>
            </w:r>
            <w:r/>
          </w:p>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杂化率大于10%有一项扣0.2分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及时做好病虫害防治，安全环保，用药配比正确，操作安全，不发生药害事故。（2分）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乔灌木单株叶片受害率大于20%，有一项扣0.2分；单株蛀干性害虫新虫口大于5个，有一项扣0.2分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根据植株生长植株无歪斜、倒伏现象,叶面无蒙尘及粘滞物。</w:t>
            </w:r>
            <w:r/>
          </w:p>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树干明显倾斜角度超过10度未采取措施，有一项扣0.2分；涝害面积超过10㎡有一项扣0.2分；树叶积尘严重有一项扣0.2分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入冬前应及时按规定对树木进行涂白（2分）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未及时涂白或未按规定涂白，发现一株扣0.2分，告知后未进行整改扣1分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树木每年施基肥一次，草坪全年施基肥两次，每次施肥量大于每平方米0.3千克（3分）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4"/>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未按时施肥或未按规定施肥，发现一次扣0.5分，施肥量未达标发现一次扣1分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河道养护（2分）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ind w:firstLine="240"/>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河面有害动植物未及时处理，发现一次扣0.5分，有水草漂浮物未及时处理扣0.5分，有白色垃圾未及时处理引起后果的扣1分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98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考核说明：每月至少三次明查暗访，保存督查现场考核照片；服务考核采用项目百分制，95分为基准合格分，每下降1分在季度结算服务费时扣减500元。年度满意率标准为95%，每下降一个百分点，扣除年服务费1%，年底从物业费中扣除。</w:t>
            </w:r>
            <w:r/>
          </w:p>
          <w:p>
            <w:pPr>
              <w:jc w:val="left"/>
              <w:widowControl/>
            </w:pPr>
            <w:r/>
            <w:r/>
          </w:p>
        </w:tc>
      </w:tr>
      <w:tr>
        <w:trPr>
          <w:trHeight w:val="906"/>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Style w:val="1074"/>
                <w:rFonts w:hint="default"/>
                <w:i/>
                <w:color w:val="auto"/>
                <w:sz w:val="24"/>
                <w:szCs w:val="24"/>
                <w:lang w:bidi="ar"/>
              </w:rPr>
            </w:pPr>
            <w:r>
              <w:rPr>
                <w:rFonts w:hint="eastAsia" w:ascii="宋体" w:hAnsi="宋体" w:cs="宋体"/>
                <w:i/>
                <w:sz w:val="24"/>
                <w:szCs w:val="24"/>
                <w:lang w:bidi="ar"/>
              </w:rPr>
              <w:t xml:space="preserve">考核人签字：             被考核人签字： </w:t>
            </w:r>
            <w:r>
              <w:rPr>
                <w:rStyle w:val="1074"/>
                <w:rFonts w:hint="default"/>
                <w:i/>
                <w:color w:val="auto"/>
                <w:sz w:val="24"/>
                <w:szCs w:val="24"/>
                <w:lang w:bidi="ar"/>
              </w:rPr>
              <w:t xml:space="preserve">         </w:t>
            </w:r>
            <w:r/>
          </w:p>
          <w:p>
            <w:pPr>
              <w:jc w:val="left"/>
              <w:widowControl/>
              <w:rPr>
                <w:rFonts w:cs="Arial" w:asciiTheme="minorEastAsia" w:hAnsiTheme="minorEastAsia"/>
                <w:i/>
                <w:iCs/>
                <w:sz w:val="24"/>
              </w:rPr>
            </w:pPr>
            <w:r>
              <w:rPr>
                <w:rFonts w:hint="eastAsia" w:ascii="宋体" w:hAnsi="宋体" w:cs="宋体"/>
                <w:i/>
                <w:sz w:val="24"/>
                <w:szCs w:val="24"/>
                <w:lang w:bidi="ar"/>
              </w:rPr>
              <w:t xml:space="preserve">考核时间：  年   月   日</w:t>
            </w:r>
            <w:r/>
          </w:p>
        </w:tc>
      </w:tr>
    </w:tbl>
    <w:p>
      <w:pPr>
        <w:ind w:left="258"/>
        <w:spacing w:before="212" w:line="222" w:lineRule="auto"/>
        <w:rPr>
          <w:rFonts w:ascii="宋体" w:hAnsi="宋体" w:cs="宋体"/>
          <w:b/>
          <w:bCs/>
          <w:i/>
          <w:spacing w:val="-4"/>
          <w:sz w:val="24"/>
        </w:rPr>
      </w:pPr>
      <w:r>
        <w:rPr>
          <w:rFonts w:ascii="宋体" w:hAnsi="宋体" w:cs="宋体"/>
          <w:b/>
          <w:bCs/>
          <w:i/>
          <w:spacing w:val="-4"/>
          <w:sz w:val="24"/>
        </w:rPr>
      </w:r>
      <w:r/>
    </w:p>
    <w:p>
      <w:pPr>
        <w:ind w:left="258"/>
        <w:spacing w:before="212" w:line="222" w:lineRule="auto"/>
        <w:rPr>
          <w:rFonts w:ascii="宋体" w:hAnsi="宋体" w:cs="宋体"/>
          <w:b/>
          <w:bCs/>
          <w:i/>
          <w:spacing w:val="-6"/>
          <w:sz w:val="24"/>
        </w:rPr>
      </w:pPr>
      <w:r>
        <w:rPr>
          <w:rFonts w:hint="eastAsia" w:ascii="宋体" w:hAnsi="宋体" w:cs="宋体"/>
          <w:b/>
          <w:bCs/>
          <w:i/>
          <w:spacing w:val="-4"/>
          <w:sz w:val="24"/>
          <w:szCs w:val="24"/>
        </w:rPr>
        <w:t xml:space="preserve">6.5</w:t>
      </w:r>
      <w:r>
        <w:rPr>
          <w:rFonts w:hint="eastAsia" w:ascii="宋体" w:hAnsi="宋体" w:cs="宋体"/>
          <w:b/>
          <w:bCs/>
          <w:i/>
          <w:spacing w:val="-6"/>
          <w:sz w:val="24"/>
          <w:szCs w:val="24"/>
        </w:rPr>
        <w:t xml:space="preserve">其他要求</w:t>
      </w:r>
      <w:r/>
    </w:p>
    <w:p>
      <w:pPr>
        <w:pStyle w:val="764"/>
        <w:ind w:firstLine="480"/>
        <w:jc w:val="both"/>
        <w:spacing w:beforeAutospacing="0" w:afterAutospacing="0"/>
        <w:rPr>
          <w:i/>
          <w:color w:val="ff0000"/>
          <w:szCs w:val="24"/>
        </w:rPr>
      </w:pPr>
      <w:r>
        <w:rPr>
          <w:rFonts w:hint="eastAsia" w:ascii="宋体" w:hAnsi="宋体" w:cs="宋体"/>
          <w:i/>
          <w:color w:val="ff0000"/>
          <w:spacing w:val="-1"/>
          <w:szCs w:val="24"/>
        </w:rPr>
        <w:t xml:space="preserve">（1）</w:t>
      </w:r>
      <w:r>
        <w:rPr>
          <w:rFonts w:hint="eastAsia" w:ascii="宋体" w:hAnsi="宋体" w:cs="宋体"/>
          <w:b/>
          <w:i/>
          <w:color w:val="ff0000"/>
          <w:spacing w:val="-4"/>
          <w:szCs w:val="24"/>
        </w:rPr>
        <w:t xml:space="preserve">投标时，中标供应商须作出以下书面承诺（须法人代表签字，加盖单位公</w:t>
      </w:r>
      <w:r>
        <w:rPr>
          <w:rFonts w:hint="eastAsia" w:ascii="宋体" w:hAnsi="宋体" w:cs="宋体"/>
          <w:b/>
          <w:i/>
          <w:color w:val="ff0000"/>
          <w:spacing w:val="-7"/>
          <w:szCs w:val="24"/>
        </w:rPr>
        <w:t xml:space="preserve">章及法人章</w:t>
      </w:r>
      <w:r>
        <w:rPr>
          <w:rFonts w:hint="eastAsia" w:ascii="宋体" w:hAnsi="宋体" w:cs="宋体"/>
          <w:b/>
          <w:i/>
          <w:color w:val="ff0000"/>
          <w:spacing w:val="-23"/>
          <w:szCs w:val="24"/>
        </w:rPr>
        <w:t xml:space="preserve">）：1）</w:t>
      </w:r>
      <w:r>
        <w:rPr>
          <w:rFonts w:hint="eastAsia" w:ascii="宋体" w:hAnsi="宋体" w:cs="宋体"/>
          <w:b/>
          <w:i/>
          <w:color w:val="ff0000"/>
          <w:spacing w:val="-7"/>
          <w:szCs w:val="24"/>
        </w:rPr>
        <w:t xml:space="preserve">遵守《中华人民共和国劳动合同法》、《中华人民共和国物权法》、《物</w:t>
      </w:r>
      <w:r>
        <w:rPr>
          <w:rFonts w:hint="eastAsia" w:ascii="宋体" w:hAnsi="宋体" w:cs="宋体"/>
          <w:b/>
          <w:i/>
          <w:color w:val="ff0000"/>
          <w:spacing w:val="-1"/>
          <w:szCs w:val="24"/>
        </w:rPr>
        <w:t xml:space="preserve">业管理条例》、《江苏省物业管理条例》等相关规定。</w:t>
      </w:r>
      <w:r>
        <w:rPr>
          <w:rFonts w:hint="eastAsia" w:ascii="宋体" w:hAnsi="宋体" w:cs="宋体"/>
          <w:b/>
          <w:i/>
          <w:color w:val="ff0000"/>
          <w:spacing w:val="-7"/>
          <w:szCs w:val="24"/>
        </w:rPr>
        <w:t xml:space="preserve">2）签订合同前，成交供应商须向采购人提供上述所有人员的人事档案资料，包括身份证、健康证明、学历证明及本项目要求的各项证书等。如因人员配备不符合采购文件要求不能及时签订合同，视为供应商拒签合同，将没收履约保证金，并书面报告政府采购监督管理部门。</w:t>
      </w:r>
      <w:r>
        <w:rPr>
          <w:rFonts w:hint="eastAsia" w:ascii="宋体" w:hAnsi="宋体" w:cs="宋体"/>
          <w:b/>
          <w:i/>
          <w:color w:val="ff0000"/>
          <w:spacing w:val="-1"/>
          <w:szCs w:val="24"/>
        </w:rPr>
        <w:t xml:space="preserve">（承诺函格式自定，附于商务要求响应及偏离表后。未提供本项承诺函做无效投标处理。）</w:t>
      </w:r>
      <w:r/>
    </w:p>
    <w:p>
      <w:pPr>
        <w:ind w:left="15" w:firstLine="489"/>
        <w:spacing w:before="212"/>
        <w:rPr>
          <w:rFonts w:ascii="宋体" w:hAnsi="宋体" w:cs="宋体"/>
          <w:i/>
          <w:spacing w:val="-6"/>
          <w:sz w:val="24"/>
          <w:szCs w:val="24"/>
        </w:rPr>
      </w:pPr>
      <w:r>
        <w:rPr>
          <w:rFonts w:hint="eastAsia" w:ascii="宋体" w:hAnsi="宋体" w:cs="宋体"/>
          <w:i/>
          <w:spacing w:val="-1"/>
          <w:sz w:val="24"/>
          <w:szCs w:val="24"/>
        </w:rPr>
        <w:t xml:space="preserve">（2）供应商应根据国家政策调整规律进行报价，充分考虑服务期内的市场因素和成</w:t>
      </w:r>
      <w:r>
        <w:rPr>
          <w:rFonts w:hint="eastAsia" w:ascii="宋体" w:hAnsi="宋体" w:cs="宋体"/>
          <w:i/>
          <w:spacing w:val="-2"/>
          <w:sz w:val="24"/>
          <w:szCs w:val="24"/>
        </w:rPr>
        <w:t xml:space="preserve">本变化状况的风险，一旦成交，所报价格即为合同价一次性包干，不得以任何理由（包括政策性人工调资及保险基数调整等）要求变更合同价。因中标人原因导致的各类事故</w:t>
      </w:r>
      <w:r>
        <w:rPr>
          <w:rFonts w:hint="eastAsia" w:ascii="宋体" w:hAnsi="宋体" w:cs="宋体"/>
          <w:i/>
          <w:spacing w:val="-6"/>
          <w:sz w:val="24"/>
          <w:szCs w:val="24"/>
        </w:rPr>
        <w:t xml:space="preserve">的经济损失及赔偿费用均计入报价。</w:t>
      </w:r>
      <w:r/>
    </w:p>
    <w:p>
      <w:pPr>
        <w:ind w:left="15" w:firstLine="489"/>
        <w:spacing w:before="212"/>
        <w:rPr>
          <w:rFonts w:ascii="宋体" w:hAnsi="宋体" w:cs="宋体"/>
          <w:i/>
          <w:spacing w:val="-1"/>
          <w:sz w:val="24"/>
          <w:szCs w:val="24"/>
        </w:rPr>
      </w:pPr>
      <w:r>
        <w:rPr>
          <w:rFonts w:hint="eastAsia" w:ascii="宋体" w:hAnsi="宋体" w:cs="宋体"/>
          <w:i/>
          <w:spacing w:val="-1"/>
          <w:sz w:val="24"/>
          <w:szCs w:val="24"/>
        </w:rPr>
        <w:t xml:space="preserve">（3）投标供应商应认真进行现场勘察工作，场地现状及限制性因素由投标供应商向采购人查询并自行勘察核实，投标供应商的投标行为视为已充分调查、了解、核实场地现状，并同意接受而准备履约合同，因履约合同所有约定而涉及可能发生。</w:t>
      </w:r>
      <w:r/>
    </w:p>
    <w:p>
      <w:pPr>
        <w:ind w:firstLine="472"/>
        <w:spacing w:before="212"/>
        <w:rPr>
          <w:i/>
          <w:sz w:val="24"/>
        </w:rPr>
      </w:pPr>
      <w:r>
        <w:rPr>
          <w:rFonts w:hint="eastAsia" w:ascii="宋体" w:hAnsi="宋体" w:cs="宋体"/>
          <w:i/>
          <w:spacing w:val="-2"/>
          <w:sz w:val="24"/>
          <w:szCs w:val="24"/>
        </w:rPr>
        <w:t xml:space="preserve">（4）采购人</w:t>
      </w:r>
      <w:r>
        <w:rPr>
          <w:rFonts w:hint="eastAsia" w:ascii="宋体" w:hAnsi="宋体" w:cs="宋体"/>
          <w:i/>
          <w:sz w:val="24"/>
          <w:szCs w:val="24"/>
        </w:rPr>
        <w:t xml:space="preserve">向</w:t>
      </w:r>
      <w:r>
        <w:rPr>
          <w:rFonts w:hint="eastAsia" w:ascii="宋体" w:hAnsi="宋体" w:cs="宋体"/>
          <w:i/>
          <w:spacing w:val="-1"/>
          <w:sz w:val="24"/>
          <w:szCs w:val="24"/>
        </w:rPr>
        <w:t xml:space="preserve">供应商</w:t>
      </w:r>
      <w:r>
        <w:rPr>
          <w:rFonts w:hint="eastAsia" w:ascii="宋体" w:hAnsi="宋体" w:cs="宋体"/>
          <w:i/>
          <w:sz w:val="24"/>
          <w:szCs w:val="24"/>
        </w:rPr>
        <w:t xml:space="preserve">提供项目管理工作所必需的资料、水电，</w:t>
      </w:r>
      <w:r>
        <w:rPr>
          <w:rFonts w:hint="eastAsia" w:ascii="宋体" w:hAnsi="宋体" w:cs="宋体"/>
          <w:i/>
          <w:spacing w:val="-2"/>
          <w:sz w:val="24"/>
          <w:szCs w:val="24"/>
        </w:rPr>
        <w:t xml:space="preserve">采购人</w:t>
      </w:r>
      <w:r>
        <w:rPr>
          <w:rFonts w:hint="eastAsia" w:ascii="宋体" w:hAnsi="宋体" w:cs="宋体"/>
          <w:i/>
          <w:sz w:val="24"/>
          <w:szCs w:val="24"/>
        </w:rPr>
        <w:t xml:space="preserve">根据工作实际需要提供相应的项目管理用房交管理人员使用</w:t>
      </w:r>
      <w:r>
        <w:rPr>
          <w:rFonts w:hint="eastAsia" w:ascii="宋体" w:hAnsi="宋体" w:cs="宋体"/>
          <w:i/>
          <w:sz w:val="24"/>
          <w:szCs w:val="24"/>
          <w:lang w:val="zh-TW" w:eastAsia="zh-TW"/>
        </w:rPr>
        <w:t xml:space="preserve">。</w:t>
      </w:r>
      <w:r>
        <w:rPr>
          <w:rFonts w:hint="eastAsia" w:ascii="宋体" w:hAnsi="宋体" w:cs="宋体"/>
          <w:i/>
          <w:spacing w:val="-4"/>
          <w:sz w:val="24"/>
          <w:szCs w:val="24"/>
        </w:rPr>
        <w:t xml:space="preserve">只提供值班人员的少量公共休息间，不提供员工宿舍、就餐。前期开办费已依据需求测算计入采购预算价中。</w:t>
      </w:r>
      <w:r/>
    </w:p>
    <w:p>
      <w:pPr>
        <w:ind w:right="53" w:firstLine="476"/>
        <w:spacing w:before="211"/>
        <w:widowControl/>
        <w:rPr>
          <w:rFonts w:ascii="宋体" w:hAnsi="宋体" w:cs="宋体"/>
          <w:i/>
          <w:spacing w:val="-2"/>
          <w:sz w:val="24"/>
        </w:rPr>
      </w:pPr>
      <w:r>
        <w:rPr>
          <w:rFonts w:hint="eastAsia" w:ascii="宋体" w:hAnsi="宋体" w:cs="宋体"/>
          <w:i/>
          <w:spacing w:val="-1"/>
          <w:sz w:val="24"/>
          <w:szCs w:val="24"/>
        </w:rPr>
        <w:t xml:space="preserve">（5）</w:t>
      </w:r>
      <w:r>
        <w:rPr>
          <w:rFonts w:hint="eastAsia" w:ascii="宋体" w:hAnsi="宋体" w:cs="宋体"/>
          <w:i/>
          <w:spacing w:val="-2"/>
          <w:sz w:val="24"/>
          <w:szCs w:val="24"/>
        </w:rPr>
        <w:t xml:space="preserve">中标人严格执行招标文件标准，实际用工人数不得少于投标所报配备人员数。不得随意调整人员，如确因相关原因需调整时，必须书面征得采购人书面同意。未经业主同意不得在中标后调换，否则业主有权解除合同并追诉由此给业主带来的各项损失。</w:t>
      </w:r>
      <w:r/>
    </w:p>
    <w:p>
      <w:pPr>
        <w:ind w:right="83" w:firstLine="472"/>
        <w:spacing w:before="78"/>
        <w:widowControl/>
        <w:rPr>
          <w:i/>
          <w:sz w:val="24"/>
        </w:rPr>
      </w:pPr>
      <w:r>
        <w:rPr>
          <w:rFonts w:hint="eastAsia" w:ascii="宋体" w:hAnsi="宋体" w:cs="宋体"/>
          <w:i/>
          <w:spacing w:val="-2"/>
          <w:sz w:val="24"/>
          <w:szCs w:val="24"/>
        </w:rPr>
        <w:t xml:space="preserve">（6）中标人</w:t>
      </w:r>
      <w:r>
        <w:rPr>
          <w:rFonts w:hint="eastAsia" w:ascii="宋体" w:hAnsi="宋体" w:cs="宋体"/>
          <w:i/>
          <w:spacing w:val="-4"/>
          <w:sz w:val="24"/>
          <w:szCs w:val="24"/>
        </w:rPr>
        <w:t xml:space="preserve">确保在本单位服务的中标供应商相关人员必须是身体健康、须具备岗位</w:t>
      </w:r>
      <w:r>
        <w:rPr>
          <w:rFonts w:hint="eastAsia" w:ascii="宋体" w:hAnsi="宋体" w:cs="宋体"/>
          <w:i/>
          <w:spacing w:val="-2"/>
          <w:sz w:val="24"/>
          <w:szCs w:val="24"/>
        </w:rPr>
        <w:t xml:space="preserve">所需知识和技能的合法、合格劳动者。中标人对录用人员须严格政审，采购人保留最</w:t>
      </w:r>
      <w:r>
        <w:rPr>
          <w:rFonts w:hint="eastAsia" w:ascii="宋体" w:hAnsi="宋体" w:cs="宋体"/>
          <w:i/>
          <w:spacing w:val="-4"/>
          <w:sz w:val="24"/>
          <w:szCs w:val="24"/>
        </w:rPr>
        <w:t xml:space="preserve">终政审权。</w:t>
      </w:r>
      <w:r/>
    </w:p>
    <w:p>
      <w:pPr>
        <w:ind w:left="14" w:right="83" w:firstLine="477"/>
        <w:spacing w:before="210"/>
        <w:rPr>
          <w:rFonts w:ascii="宋体" w:hAnsi="宋体" w:cs="宋体"/>
          <w:i/>
          <w:sz w:val="24"/>
        </w:rPr>
      </w:pPr>
      <w:r>
        <w:rPr>
          <w:rFonts w:hint="eastAsia" w:ascii="宋体" w:hAnsi="宋体" w:cs="宋体"/>
          <w:i/>
          <w:spacing w:val="-1"/>
          <w:sz w:val="24"/>
          <w:szCs w:val="24"/>
        </w:rPr>
        <w:t xml:space="preserve">（7）</w:t>
      </w:r>
      <w:r>
        <w:rPr>
          <w:rFonts w:hint="eastAsia" w:ascii="宋体" w:hAnsi="宋体" w:cs="宋体"/>
          <w:i/>
          <w:spacing w:val="-2"/>
          <w:sz w:val="24"/>
          <w:szCs w:val="24"/>
        </w:rPr>
        <w:t xml:space="preserve">中标人按照国家有关规定及时与派出的服务人员签订劳动合同，并承担其聘用人员的劳动报酬、福利待遇、按劳动法应交纳的各项保险及规定费用。如逾</w:t>
      </w:r>
      <w:r>
        <w:rPr>
          <w:rFonts w:hint="eastAsia" w:ascii="宋体" w:hAnsi="宋体" w:cs="宋体"/>
          <w:i/>
          <w:spacing w:val="-3"/>
          <w:sz w:val="24"/>
          <w:szCs w:val="24"/>
        </w:rPr>
        <w:t xml:space="preserve">期不缴，发生影响工作的行为或罢工等现象，采购人扣除履约保证金1万元；如发生劳动</w:t>
      </w:r>
      <w:r>
        <w:rPr>
          <w:rFonts w:hint="eastAsia" w:ascii="宋体" w:hAnsi="宋体" w:cs="宋体"/>
          <w:i/>
          <w:spacing w:val="-2"/>
          <w:sz w:val="24"/>
          <w:szCs w:val="24"/>
        </w:rPr>
        <w:t xml:space="preserve">纠纷且不及时处理到位的，采购人有权与中标人解除合同，履约保证金不予退还。</w:t>
      </w:r>
      <w:r/>
    </w:p>
    <w:p>
      <w:pPr>
        <w:ind w:left="14" w:right="83" w:firstLine="477"/>
        <w:spacing w:before="210"/>
        <w:rPr>
          <w:rFonts w:ascii="宋体" w:hAnsi="宋体" w:cs="宋体"/>
          <w:i/>
          <w:spacing w:val="-2"/>
          <w:sz w:val="24"/>
        </w:rPr>
      </w:pPr>
      <w:r>
        <w:rPr>
          <w:rFonts w:hint="eastAsia" w:ascii="宋体" w:hAnsi="宋体" w:cs="宋体"/>
          <w:i/>
          <w:spacing w:val="-1"/>
          <w:sz w:val="24"/>
          <w:szCs w:val="24"/>
        </w:rPr>
        <w:t xml:space="preserve">（8）</w:t>
      </w:r>
      <w:r>
        <w:rPr>
          <w:rFonts w:hint="eastAsia" w:ascii="宋体" w:hAnsi="宋体" w:cs="宋体"/>
          <w:i/>
          <w:sz w:val="24"/>
          <w:szCs w:val="24"/>
        </w:rPr>
        <w:t xml:space="preserve">采购人定期对中标人的服务质量进行检查、考核，对不符</w:t>
      </w:r>
      <w:r>
        <w:rPr>
          <w:rFonts w:hint="eastAsia" w:ascii="宋体" w:hAnsi="宋体" w:cs="宋体"/>
          <w:i/>
          <w:spacing w:val="-1"/>
          <w:sz w:val="24"/>
          <w:szCs w:val="24"/>
        </w:rPr>
        <w:t xml:space="preserve">合采购人服务质量要</w:t>
      </w:r>
      <w:r>
        <w:rPr>
          <w:rFonts w:hint="eastAsia" w:ascii="宋体" w:hAnsi="宋体" w:cs="宋体"/>
          <w:i/>
          <w:spacing w:val="-2"/>
          <w:sz w:val="24"/>
          <w:szCs w:val="24"/>
        </w:rPr>
        <w:t xml:space="preserve">求的，有权限时整改并检查验收和考核。采购人有权对中标人服务不称职的人员提出调</w:t>
      </w:r>
      <w:r>
        <w:rPr>
          <w:rFonts w:hint="eastAsia" w:ascii="宋体" w:hAnsi="宋体" w:cs="宋体"/>
          <w:i/>
          <w:spacing w:val="-3"/>
          <w:sz w:val="24"/>
          <w:szCs w:val="24"/>
        </w:rPr>
        <w:t xml:space="preserve">整建议</w:t>
      </w:r>
      <w:r>
        <w:rPr>
          <w:rFonts w:hint="eastAsia" w:ascii="宋体" w:hAnsi="宋体" w:cs="宋体"/>
          <w:i/>
          <w:spacing w:val="-2"/>
          <w:sz w:val="24"/>
          <w:szCs w:val="24"/>
        </w:rPr>
        <w:t xml:space="preserve">，中标人需在1个工作日内调整到位。</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（9）节假日放假期间：每天安排值班人员保障常规的保洁、绿化养护服务等要求。</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（10）所有从业人员服从项目负责人和采购人的双重管理,定期对所有从业人员进行知识培训。</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（11）中标人发生下列情形之一的，采购人有权立即解除合同，并由中标人承担违约责任。</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①中标人对不符合服务质量要求的问题拒不整改，采购人在检查考核中发现 3 次以上的。</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②经采购人测评，服务对象满意率连续两次低于85%。</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③发生中标人人员责任的重大安全事故。</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④违反国家相关政策法规，违法用工的。</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⑤中标人有违反本招标文件任何条款行为的。</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（12）按照有关法律、法规及物业管理有关规定，拟定管理区域内公共设施设备、环境卫生保洁等各项管理办法、规章制度、运作程序、实施细则。</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（13）中标人应加强员工教育培训，努力提升安全责任和意识，中标人员工在合同期间所发生的一切安全责任由中标人自行承担，与采购人无关。</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（14）因中标人责任造成自身、他人或采购人人身伤害或财产损失、损坏的，中标人依法承担相应赔偿责任和法律责任，与采购人无关。</w:t>
      </w:r>
      <w:r/>
    </w:p>
    <w:p>
      <w:pPr>
        <w:ind w:left="14" w:right="83" w:firstLine="477"/>
        <w:spacing w:before="210"/>
        <w:rPr>
          <w:rFonts w:ascii="宋体" w:hAnsi="宋体" w:cs="宋体"/>
          <w:b/>
          <w:i/>
          <w:spacing w:val="-2"/>
          <w:sz w:val="24"/>
        </w:rPr>
      </w:pPr>
      <w:r>
        <w:rPr>
          <w:rFonts w:hint="eastAsia" w:ascii="宋体" w:hAnsi="宋体" w:cs="宋体"/>
          <w:b/>
          <w:i/>
          <w:spacing w:val="-2"/>
          <w:sz w:val="24"/>
          <w:szCs w:val="24"/>
        </w:rPr>
        <w:t xml:space="preserve">（15）中标人承诺遵守采购人要求的各项规章制度要求，无条件协助采购人处理各种突发事件和紧急任务（如接待，天气灾害、意外故障引发的水患和卫生突击等）。因临时安排的工作需要人员由中标人协调安排，采购人不付任何费用。（承诺函格式自定，附于商务要求响应及偏离表后。未提供本项承诺函做无效投标处理。）</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（16）中标人应加强员工的管理和教育，爱护采购人财物，文明用语，热情优质服务。工作期间，未经许可不得进入与工作无关的区域，同时做好相关保密工作。</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（17）合同期满，中标人保证提前15天移交物业资料退场时，负责所聘人员的安置，与采购人无关。</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18）评标委员会认为投标人的报价明显低于其他通过符合性审查投标人的报价，有可能无法诚信履约的，评标委员会有权要求供应商提供书面证明材料。该供应商不能合理说明原因并提供证明材料，评标委员会有权将该供应商的投标文件作无效标处理。</w:t>
      </w:r>
      <w:r/>
    </w:p>
    <w:p>
      <w:pPr>
        <w:spacing w:line="400" w:lineRule="exact"/>
        <w:rPr>
          <w:rFonts w:asciiTheme="minorEastAsia" w:hAnsiTheme="minorEastAsia"/>
          <w:b/>
          <w:bCs/>
          <w:i/>
          <w:iCs/>
          <w:sz w:val="24"/>
        </w:rPr>
      </w:pPr>
      <w:r>
        <w:rPr>
          <w:rFonts w:asciiTheme="minorEastAsia" w:hAnsiTheme="minorEastAsia"/>
          <w:b/>
          <w:bCs/>
          <w:i/>
          <w:iCs/>
          <w:sz w:val="24"/>
        </w:rPr>
      </w:r>
      <w:r/>
    </w:p>
    <w:p>
      <w:pPr>
        <w:ind w:firstLine="241"/>
        <w:spacing w:line="400" w:lineRule="exact"/>
        <w:rPr>
          <w:rFonts w:asciiTheme="minorEastAsia" w:hAnsiTheme="minorEastAsia"/>
          <w:b/>
          <w:bCs/>
          <w:i/>
          <w:iCs/>
          <w:sz w:val="24"/>
        </w:rPr>
      </w:pPr>
      <w:r>
        <w:rPr>
          <w:rFonts w:hint="eastAsia" w:asciiTheme="minorEastAsia" w:hAnsiTheme="minorEastAsia" w:eastAsiaTheme="minorEastAsia"/>
          <w:b/>
          <w:bCs/>
          <w:i/>
          <w:iCs/>
          <w:sz w:val="24"/>
          <w:szCs w:val="24"/>
        </w:rPr>
        <w:t xml:space="preserve">7.需要说明的其他事项</w:t>
      </w:r>
      <w:r/>
    </w:p>
    <w:p>
      <w:pPr>
        <w:ind w:firstLine="420"/>
        <w:spacing w:before="90" w:line="185" w:lineRule="auto"/>
        <w:rPr>
          <w:rFonts w:ascii="微软雅黑" w:hAnsi="微软雅黑" w:eastAsia="微软雅黑" w:cs="微软雅黑"/>
          <w:b/>
          <w:bCs/>
          <w:szCs w:val="21"/>
        </w:rPr>
        <w:outlineLvl w:val="1"/>
      </w:pPr>
      <w:r>
        <w:rPr>
          <w:rFonts w:ascii="微软雅黑" w:hAnsi="微软雅黑" w:eastAsia="微软雅黑" w:cs="微软雅黑"/>
          <w:b/>
          <w:bCs/>
          <w:szCs w:val="21"/>
        </w:rPr>
      </w:r>
      <w:r/>
    </w:p>
    <w:p>
      <w:pPr>
        <w:ind w:firstLine="241"/>
        <w:spacing w:line="400" w:lineRule="exact"/>
        <w:rPr>
          <w:rFonts w:asciiTheme="minorEastAsia" w:hAnsiTheme="minorEastAsia" w:eastAsiaTheme="minorEastAsia"/>
          <w:b/>
          <w:bCs/>
          <w:i/>
          <w:iCs/>
          <w:sz w:val="24"/>
          <w:szCs w:val="24"/>
        </w:rPr>
      </w:pPr>
      <w:r>
        <w:rPr>
          <w:rFonts w:hint="eastAsia" w:asciiTheme="minorEastAsia" w:hAnsiTheme="minorEastAsia" w:eastAsiaTheme="minorEastAsia"/>
          <w:b/>
          <w:bCs/>
          <w:i/>
          <w:iCs/>
          <w:sz w:val="24"/>
          <w:szCs w:val="24"/>
        </w:rPr>
        <w:t xml:space="preserve">7.1低值易耗品费用</w:t>
      </w:r>
      <w:r/>
    </w:p>
    <w:p>
      <w:pPr>
        <w:ind w:left="14" w:right="83" w:firstLine="477"/>
        <w:spacing w:before="210"/>
        <w:rPr>
          <w:rFonts w:ascii="宋体" w:hAnsi="宋体" w:cs="宋体"/>
          <w:i/>
          <w:spacing w:val="-2"/>
          <w:sz w:val="24"/>
          <w:szCs w:val="24"/>
        </w:rPr>
      </w:pPr>
      <w:r>
        <w:rPr>
          <w:rFonts w:hint="eastAsia" w:ascii="宋体" w:hAnsi="宋体" w:cs="宋体"/>
          <w:i/>
          <w:spacing w:val="-2"/>
          <w:sz w:val="24"/>
          <w:szCs w:val="24"/>
        </w:rPr>
        <w:t xml:space="preserve"> 涉及以下情形的，相关费用包含在物业管理服务采购合同金额之内，由供应商承担：</w:t>
      </w:r>
      <w:r>
        <w:rPr>
          <w:rFonts w:hint="eastAsia" w:ascii="宋体" w:hAnsi="宋体" w:cs="宋体"/>
          <w:i/>
          <w:spacing w:val="-2"/>
          <w:sz w:val="24"/>
          <w:szCs w:val="24"/>
          <w:u w:val="single"/>
        </w:rPr>
        <w:t xml:space="preserve">清洁工具类、清洁药剂类、垃圾处理类、防护及其他用品；绿化养护的手动工具与劳保用品、机械配件及耗材、灌溉及水肥材料、植保与土壤材料、标识用品等</w:t>
      </w:r>
      <w:r>
        <w:rPr>
          <w:rFonts w:hint="eastAsia" w:ascii="宋体" w:hAnsi="宋体" w:cs="宋体"/>
          <w:i/>
          <w:spacing w:val="-2"/>
          <w:sz w:val="24"/>
          <w:szCs w:val="24"/>
        </w:rPr>
        <w:t xml:space="preserve">。</w:t>
      </w:r>
      <w:r/>
    </w:p>
    <w:p>
      <w:pPr>
        <w:ind w:firstLine="420"/>
        <w:spacing w:before="90" w:line="185" w:lineRule="auto"/>
        <w:rPr>
          <w:rFonts w:ascii="微软雅黑" w:hAnsi="微软雅黑" w:eastAsia="微软雅黑" w:cs="微软雅黑"/>
          <w:b/>
          <w:bCs/>
          <w:szCs w:val="21"/>
        </w:rPr>
        <w:outlineLvl w:val="1"/>
      </w:pPr>
      <w:r>
        <w:rPr>
          <w:rFonts w:ascii="微软雅黑" w:hAnsi="微软雅黑" w:eastAsia="微软雅黑" w:cs="微软雅黑"/>
          <w:b/>
          <w:bCs/>
          <w:szCs w:val="21"/>
        </w:rPr>
      </w:r>
      <w:r/>
    </w:p>
    <w:p>
      <w:pPr>
        <w:ind w:firstLine="480"/>
        <w:spacing w:line="288" w:lineRule="auto"/>
        <w:rPr>
          <w:rFonts w:cs="仿宋" w:asciiTheme="minorEastAsia" w:hAnsiTheme="minorEastAsia" w:eastAsiaTheme="minorEastAsia"/>
          <w:i/>
          <w:sz w:val="24"/>
          <w:szCs w:val="24"/>
          <w:shd w:val="clear" w:color="ffffff" w:fill="d9d9d9"/>
        </w:rPr>
      </w:pPr>
      <w:r>
        <w:rPr>
          <w:rFonts w:cs="仿宋" w:asciiTheme="minorEastAsia" w:hAnsiTheme="minorEastAsia" w:eastAsiaTheme="minorEastAsia"/>
          <w:i/>
          <w:sz w:val="24"/>
          <w:szCs w:val="24"/>
          <w:shd w:val="clear" w:color="ffffff" w:fill="d9d9d9"/>
        </w:rPr>
      </w:r>
      <w:r/>
    </w:p>
    <w:p>
      <w:pPr>
        <w:ind w:firstLine="480"/>
        <w:spacing w:line="24" w:lineRule="atLeast"/>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firstLine="480"/>
        <w:spacing w:line="24" w:lineRule="atLeast"/>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5"/>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64"/>
        <w:jc w:val="center"/>
        <w:spacing w:before="120" w:beforeAutospacing="0" w:after="120" w:afterAutospacing="0"/>
        <w:rPr>
          <w:rFonts w:ascii="黑体" w:eastAsia="黑体"/>
          <w:bCs/>
          <w:sz w:val="44"/>
        </w:rPr>
      </w:pPr>
      <w:r>
        <w:rPr>
          <w:rFonts w:hint="eastAsia" w:ascii="黑体" w:eastAsia="黑体"/>
          <w:bCs/>
          <w:sz w:val="44"/>
        </w:rPr>
        <w:t xml:space="preserve">第五章  评标方法与评标标准</w:t>
      </w:r>
      <w:r/>
    </w:p>
    <w:p>
      <w:r/>
      <w:r/>
    </w:p>
    <w:p>
      <w:pPr>
        <w:ind w:firstLine="480"/>
        <w:spacing w:line="520" w:lineRule="exact"/>
        <w:rPr>
          <w:rFonts w:ascii="宋体" w:hAnsi="宋体" w:cs="仿宋"/>
          <w:sz w:val="24"/>
          <w:lang w:val="zh-CN"/>
        </w:rPr>
      </w:pPr>
      <w:r>
        <w:rPr>
          <w:rFonts w:hint="eastAsia" w:ascii="宋体" w:hAnsi="宋体" w:cs="仿宋"/>
          <w:sz w:val="24"/>
          <w:lang w:val="zh-CN"/>
        </w:rPr>
        <w:t xml:space="preserve">本次评标采用最低评标价法。</w:t>
      </w:r>
      <w:r/>
    </w:p>
    <w:p>
      <w:pPr>
        <w:ind w:firstLine="480"/>
        <w:spacing w:line="360" w:lineRule="auto"/>
        <w:rPr>
          <w:rFonts w:ascii="Times New Roman" w:hAnsi="Times New Roman"/>
          <w:b/>
          <w:sz w:val="24"/>
          <w:szCs w:val="24"/>
        </w:rPr>
      </w:pPr>
      <w:r>
        <w:rPr>
          <w:rFonts w:ascii="Times New Roman" w:hAnsi="Times New Roman"/>
          <w:b/>
          <w:sz w:val="24"/>
          <w:szCs w:val="24"/>
        </w:rPr>
      </w:r>
      <w:r/>
    </w:p>
    <w:tbl>
      <w:tblPr>
        <w:tblStyle w:val="74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2"/>
        <w:gridCol w:w="4819"/>
      </w:tblGrid>
      <w:tr>
        <w:trPr/>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jc w:val="center"/>
              <w:rPr>
                <w:rFonts w:ascii="宋体" w:hAnsi="宋体"/>
                <w:szCs w:val="21"/>
              </w:rPr>
            </w:pPr>
            <w:r>
              <w:rPr>
                <w:rFonts w:hint="eastAsia" w:ascii="宋体" w:hAnsi="宋体"/>
              </w:rPr>
              <w:t xml:space="preserve">选取中标候选人数量</w:t>
            </w:r>
            <w:r/>
          </w:p>
        </w:tc>
        <w:tc>
          <w:tcPr>
            <w:tcBorders>
              <w:top w:val="single" w:color="auto" w:sz="4" w:space="0"/>
              <w:left w:val="single" w:color="auto" w:sz="4" w:space="0"/>
              <w:bottom w:val="single" w:color="auto" w:sz="4" w:space="0"/>
              <w:right w:val="single" w:color="auto" w:sz="4" w:space="0"/>
            </w:tcBorders>
            <w:tcW w:w="4819" w:type="dxa"/>
            <w:vAlign w:val="center"/>
            <w:textDirection w:val="lrTb"/>
            <w:noWrap w:val="false"/>
          </w:tcPr>
          <w:p>
            <w:pPr>
              <w:jc w:val="center"/>
              <w:rPr>
                <w:rFonts w:ascii="宋体" w:hAnsi="宋体"/>
                <w:szCs w:val="21"/>
              </w:rPr>
            </w:pPr>
            <w:r>
              <w:rPr>
                <w:rFonts w:hint="eastAsia" w:ascii="宋体" w:hAnsi="宋体"/>
              </w:rPr>
              <w:t xml:space="preserve">选取中标候选人的原则</w:t>
            </w:r>
            <w:r/>
          </w:p>
        </w:tc>
      </w:tr>
      <w:tr>
        <w:trPr/>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jc w:val="center"/>
              <w:rPr>
                <w:rFonts w:ascii="宋体" w:hAnsi="宋体"/>
                <w:szCs w:val="21"/>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4819" w:type="dxa"/>
            <w:vAlign w:val="center"/>
            <w:textDirection w:val="lrTb"/>
            <w:noWrap w:val="false"/>
          </w:tcPr>
          <w:p>
            <w:pPr>
              <w:ind w:firstLine="420"/>
              <w:jc w:val="left"/>
            </w:pPr>
            <w:r>
              <w:rPr>
                <w:rFonts w:hint="eastAsia" w:ascii="宋体" w:hAnsi="宋体"/>
              </w:rPr>
              <w:t xml:space="preserve">评标将以价格因素确定中标候选人，即在全部满足采购人招标文件实质性要求前提下，以提出最低报价（价格扣除后的评审价）的供应商成为成交供应商。如因供应商最后报价（价格扣除后的评审价）相同导致无法确定成交供应商的，则由采购人抽签确定。</w:t>
            </w:r>
            <w:r/>
          </w:p>
        </w:tc>
      </w:tr>
    </w:tbl>
    <w:p>
      <w:pPr>
        <w:ind w:firstLine="480"/>
        <w:spacing w:line="520" w:lineRule="exact"/>
        <w:rPr>
          <w:rFonts w:ascii="宋体" w:hAnsi="宋体" w:cs="仿宋"/>
          <w:sz w:val="24"/>
        </w:rPr>
      </w:pPr>
      <w:r>
        <w:rPr>
          <w:rFonts w:ascii="宋体" w:hAnsi="宋体" w:cs="仿宋"/>
          <w:sz w:val="24"/>
        </w:rPr>
      </w:r>
      <w:r/>
    </w:p>
    <w:p>
      <w:pPr>
        <w:rPr>
          <w:rFonts w:ascii="黑体" w:eastAsia="黑体"/>
          <w:bCs/>
          <w:sz w:val="44"/>
        </w:rPr>
      </w:pPr>
      <w:r>
        <w:rPr>
          <w:rFonts w:ascii="黑体" w:eastAsia="黑体"/>
          <w:bCs/>
          <w:sz w:val="44"/>
        </w:rPr>
      </w:r>
      <w:r/>
    </w:p>
    <w:p>
      <w:pPr>
        <w:jc w:val="center"/>
        <w:rPr>
          <w:rFonts w:ascii="黑体" w:eastAsia="黑体"/>
          <w:bCs/>
          <w:sz w:val="44"/>
        </w:rPr>
      </w:pPr>
      <w:r>
        <w:rPr>
          <w:rFonts w:hint="eastAsia" w:ascii="黑体" w:eastAsia="黑体"/>
          <w:bCs/>
          <w:sz w:val="44"/>
        </w:rPr>
        <w:br w:type="page" w:clear="all"/>
      </w:r>
      <w:r>
        <w:rPr>
          <w:rFonts w:hint="eastAsia" w:ascii="黑体" w:eastAsia="黑体"/>
          <w:bCs/>
          <w:sz w:val="44"/>
        </w:rPr>
        <w:t xml:space="preserve">第六章  投标文件格式</w:t>
      </w:r>
      <w:r/>
    </w:p>
    <w:p>
      <w:pPr>
        <w:jc w:val="center"/>
        <w:rPr>
          <w:rFonts w:ascii="宋体" w:hAnsi="宋体"/>
          <w:b/>
          <w:sz w:val="72"/>
        </w:rPr>
      </w:pPr>
      <w:r/>
      <w:bookmarkStart w:id="210" w:name="_Hlt26671244"/>
      <w:r/>
      <w:bookmarkEnd w:id="210"/>
      <w:r/>
      <w:bookmarkStart w:id="211" w:name="_Hlt26955039"/>
      <w:r/>
      <w:bookmarkEnd w:id="211"/>
      <w:r/>
      <w:bookmarkStart w:id="212" w:name="_Toc49090576"/>
      <w:r/>
      <w:bookmarkStart w:id="213" w:name="_Toc26554094"/>
      <w:r/>
      <w:bookmarkStart w:id="214" w:name="_Toc120614282"/>
      <w:r/>
      <w:r/>
    </w:p>
    <w:p>
      <w:pPr>
        <w:jc w:val="center"/>
        <w:rPr>
          <w:rFonts w:ascii="宋体" w:hAnsi="宋体"/>
          <w:b/>
          <w:sz w:val="72"/>
        </w:rPr>
        <w:outlineLvl w:val="0"/>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outlineLvl w:val="0"/>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outlineLvl w:val="0"/>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（加盖CA电子公章）</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before="50" w:after="50" w:line="360" w:lineRule="exact"/>
        <w:rPr>
          <w:rFonts w:ascii="黑体" w:hAnsi="黑体" w:eastAsia="黑体"/>
          <w:sz w:val="32"/>
          <w:szCs w:val="32"/>
        </w:rPr>
        <w:outlineLvl w:val="0"/>
      </w:pPr>
      <w:r>
        <w:rPr>
          <w:rFonts w:hint="eastAsia" w:ascii="宋体" w:hAnsi="宋体"/>
          <w:b/>
          <w:sz w:val="36"/>
          <w:u w:val="single"/>
        </w:rPr>
        <w:br w:type="page" w:clear="all"/>
      </w:r>
      <w:bookmarkEnd w:id="212"/>
      <w:r/>
      <w:bookmarkEnd w:id="213"/>
      <w:r/>
      <w:bookmarkEnd w:id="214"/>
      <w:r>
        <w:rPr>
          <w:rFonts w:hint="eastAsia" w:ascii="黑体" w:hAnsi="黑体" w:eastAsia="黑体"/>
          <w:sz w:val="32"/>
          <w:szCs w:val="32"/>
        </w:rPr>
        <w:t xml:space="preserve">投标主要文件目录</w:t>
      </w:r>
      <w:r/>
    </w:p>
    <w:p>
      <w:pPr>
        <w:jc w:val="center"/>
        <w:spacing w:line="360" w:lineRule="exact"/>
        <w:rPr>
          <w:rFonts w:ascii="宋体" w:hAnsi="宋体"/>
          <w:b/>
          <w:bCs/>
          <w:sz w:val="32"/>
          <w:szCs w:val="32"/>
        </w:rPr>
      </w:pPr>
      <w:r>
        <w:rPr>
          <w:rFonts w:ascii="宋体" w:hAnsi="宋体"/>
          <w:b/>
          <w:bCs/>
          <w:sz w:val="32"/>
          <w:szCs w:val="32"/>
        </w:rPr>
      </w:r>
      <w:r/>
    </w:p>
    <w:p>
      <w:pPr>
        <w:ind w:left="480"/>
        <w:spacing w:line="360" w:lineRule="exact"/>
        <w:rPr>
          <w:rFonts w:ascii="宋体" w:hAnsi="宋体"/>
          <w:i/>
          <w:sz w:val="24"/>
          <w:szCs w:val="21"/>
        </w:rPr>
        <w:outlineLvl w:val="0"/>
      </w:pPr>
      <w:r>
        <w:rPr>
          <w:rFonts w:hint="eastAsia" w:ascii="宋体" w:hAnsi="宋体"/>
          <w:i/>
          <w:sz w:val="24"/>
          <w:szCs w:val="21"/>
        </w:rPr>
        <w:t xml:space="preserve">一、资信证明文件（提供原件扫描件）</w:t>
      </w:r>
      <w:r/>
    </w:p>
    <w:p>
      <w:pPr>
        <w:ind w:firstLine="480"/>
        <w:rPr>
          <w:rFonts w:ascii="宋体" w:hAnsi="宋体"/>
          <w:i/>
          <w:sz w:val="24"/>
          <w:szCs w:val="24"/>
        </w:rPr>
        <w:outlineLvl w:val="1"/>
      </w:pPr>
      <w:r>
        <w:rPr>
          <w:rFonts w:hint="eastAsia" w:ascii="宋体" w:hAnsi="宋体"/>
          <w:i/>
          <w:sz w:val="24"/>
          <w:szCs w:val="24"/>
        </w:rPr>
        <w:t xml:space="preserve">（一）</w:t>
      </w:r>
      <w:r>
        <w:rPr>
          <w:rFonts w:hint="eastAsia" w:ascii="宋体" w:hAnsi="宋体" w:cs="宋体"/>
          <w:i/>
          <w:sz w:val="24"/>
          <w:szCs w:val="24"/>
        </w:rPr>
        <w:t xml:space="preserve">符合《中华人民共和国政府采购法》第二十二条规定；</w:t>
      </w:r>
      <w:r/>
    </w:p>
    <w:p>
      <w:pPr>
        <w:ind w:firstLine="480"/>
        <w:rPr>
          <w:rFonts w:ascii="宋体" w:hAnsi="宋体"/>
          <w:i/>
          <w:sz w:val="24"/>
          <w:szCs w:val="24"/>
        </w:rPr>
      </w:pPr>
      <w:r>
        <w:rPr>
          <w:rFonts w:hint="eastAsia" w:ascii="宋体" w:hAnsi="宋体"/>
          <w:i/>
          <w:sz w:val="24"/>
          <w:szCs w:val="24"/>
        </w:rPr>
        <w:t xml:space="preserve">1.满足《中华人民共和国政府采购法》第二十二条规定，并提供下列材料：</w:t>
      </w:r>
      <w:r/>
    </w:p>
    <w:p>
      <w:pPr>
        <w:ind w:firstLine="480"/>
        <w:rPr>
          <w:rFonts w:ascii="宋体" w:hAnsi="宋体"/>
          <w:i/>
          <w:sz w:val="24"/>
          <w:szCs w:val="24"/>
        </w:rPr>
      </w:pPr>
      <w:r>
        <w:rPr>
          <w:rFonts w:hint="eastAsia" w:ascii="宋体" w:hAnsi="宋体"/>
          <w:i/>
          <w:sz w:val="24"/>
          <w:szCs w:val="24"/>
        </w:rPr>
        <w:t xml:space="preserve">1.1 具有独立承担民事责任的能力；（</w:t>
      </w:r>
      <w:r>
        <w:rPr>
          <w:rFonts w:hint="eastAsia" w:ascii="宋体" w:hAnsi="宋体"/>
          <w:b/>
          <w:i/>
          <w:sz w:val="24"/>
          <w:szCs w:val="24"/>
        </w:rPr>
        <w:t xml:space="preserve">提供法人或者其他组织的《营业执照》等证明文件，自然人的身份证明。</w:t>
      </w:r>
      <w:r/>
    </w:p>
    <w:p>
      <w:pPr>
        <w:ind w:firstLine="480"/>
        <w:rPr>
          <w:rFonts w:ascii="宋体" w:hAnsi="宋体"/>
          <w:i/>
          <w:sz w:val="24"/>
          <w:szCs w:val="24"/>
        </w:rPr>
      </w:pPr>
      <w:r>
        <w:rPr>
          <w:rFonts w:hint="eastAsia" w:ascii="宋体" w:hAnsi="宋体"/>
          <w:i/>
          <w:sz w:val="24"/>
          <w:szCs w:val="24"/>
        </w:rPr>
        <w:t xml:space="preserve">1.2具有良好的商业信誉和健全的财务会计制度；（</w:t>
      </w:r>
      <w:r>
        <w:rPr>
          <w:rFonts w:hint="eastAsia" w:ascii="宋体" w:hAnsi="宋体"/>
          <w:b/>
          <w:i/>
          <w:sz w:val="24"/>
          <w:szCs w:val="24"/>
        </w:rPr>
        <w:t xml:space="preserve">提供《供应商基本资格承诺书》</w:t>
      </w:r>
      <w:r>
        <w:rPr>
          <w:rFonts w:hint="eastAsia" w:ascii="宋体" w:hAnsi="宋体"/>
          <w:i/>
          <w:sz w:val="24"/>
          <w:szCs w:val="24"/>
        </w:rPr>
        <w:t xml:space="preserve">或提供上一年度的财务状况报告（成立不满一年不需提供）</w:t>
      </w:r>
      <w:r/>
    </w:p>
    <w:p>
      <w:pPr>
        <w:ind w:firstLine="480"/>
        <w:rPr>
          <w:rFonts w:ascii="宋体" w:hAnsi="宋体"/>
          <w:i/>
          <w:sz w:val="24"/>
          <w:szCs w:val="24"/>
        </w:rPr>
      </w:pPr>
      <w:r>
        <w:rPr>
          <w:rFonts w:hint="eastAsia" w:ascii="宋体" w:hAnsi="宋体"/>
          <w:i/>
          <w:sz w:val="24"/>
          <w:szCs w:val="24"/>
        </w:rPr>
        <w:t xml:space="preserve">1.3具有履行合同所必需的设备和专业技术能力；（</w:t>
      </w:r>
      <w:r>
        <w:rPr>
          <w:rFonts w:hint="eastAsia" w:ascii="宋体" w:hAnsi="宋体"/>
          <w:b/>
          <w:i/>
          <w:sz w:val="24"/>
          <w:szCs w:val="24"/>
        </w:rPr>
        <w:t xml:space="preserve">提供《供应商基本资格承诺书》</w:t>
      </w:r>
      <w:r>
        <w:rPr>
          <w:rFonts w:hint="eastAsia" w:ascii="宋体" w:hAnsi="宋体"/>
          <w:i/>
          <w:sz w:val="24"/>
          <w:szCs w:val="24"/>
        </w:rPr>
        <w:t xml:space="preserve">或具备履行合同所必需的设备和专业技术能力的书面声明</w:t>
      </w:r>
      <w:r/>
    </w:p>
    <w:p>
      <w:pPr>
        <w:ind w:firstLine="480"/>
        <w:rPr>
          <w:rFonts w:ascii="宋体" w:hAnsi="宋体"/>
          <w:i/>
          <w:sz w:val="24"/>
          <w:szCs w:val="24"/>
        </w:rPr>
      </w:pPr>
      <w:r>
        <w:rPr>
          <w:rFonts w:hint="eastAsia" w:ascii="宋体" w:hAnsi="宋体"/>
          <w:i/>
          <w:sz w:val="24"/>
          <w:szCs w:val="24"/>
        </w:rPr>
        <w:t xml:space="preserve">1.4有依法缴纳税收和社会保障资金的良好记录；（</w:t>
      </w:r>
      <w:r>
        <w:rPr>
          <w:rFonts w:hint="eastAsia" w:ascii="宋体" w:hAnsi="宋体"/>
          <w:b/>
          <w:i/>
          <w:sz w:val="24"/>
          <w:szCs w:val="24"/>
        </w:rPr>
        <w:t xml:space="preserve">提供《供应商基本资格承诺书》</w:t>
      </w:r>
      <w:r>
        <w:rPr>
          <w:rFonts w:hint="eastAsia" w:ascii="宋体" w:hAnsi="宋体"/>
          <w:i/>
          <w:sz w:val="24"/>
          <w:szCs w:val="24"/>
        </w:rPr>
        <w:t xml:space="preserve">或提供提交投标文件截止时间前一年内至少一个月依法缴纳税收及缴纳社会保障资金的证明材料。投标人依法享受缓缴、免缴税收、社会保障资金的提供证明材料。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i/>
          <w:sz w:val="24"/>
          <w:szCs w:val="24"/>
        </w:rPr>
      </w:pPr>
      <w:r>
        <w:rPr>
          <w:rFonts w:hint="eastAsia" w:ascii="宋体" w:hAnsi="宋体"/>
          <w:i/>
          <w:sz w:val="24"/>
          <w:szCs w:val="24"/>
        </w:rPr>
        <w:t xml:space="preserve">1.5参加政府采购活动前三年内，在经营活动中没有重大违法记录；（</w:t>
      </w:r>
      <w:r>
        <w:rPr>
          <w:rFonts w:hint="eastAsia" w:ascii="宋体" w:hAnsi="宋体"/>
          <w:b/>
          <w:i/>
          <w:sz w:val="24"/>
          <w:szCs w:val="24"/>
        </w:rPr>
        <w:t xml:space="preserve">提供《供应商基本资格承诺书》</w:t>
      </w:r>
      <w:r>
        <w:rPr>
          <w:rFonts w:hint="eastAsia" w:ascii="宋体" w:hAnsi="宋体"/>
          <w:i/>
          <w:sz w:val="24"/>
          <w:szCs w:val="24"/>
        </w:rPr>
        <w:t xml:space="preserve">或参加政府采购活动前2年内在经营活动中没有重大违法记录的书面声明</w:t>
      </w:r>
      <w:r/>
    </w:p>
    <w:p>
      <w:pPr>
        <w:pStyle w:val="775"/>
        <w:spacing w:line="240" w:lineRule="auto"/>
        <w:rPr>
          <w:i/>
          <w:sz w:val="24"/>
          <w:szCs w:val="24"/>
        </w:rPr>
      </w:pPr>
      <w:r>
        <w:rPr>
          <w:rFonts w:hint="eastAsia"/>
          <w:i/>
          <w:sz w:val="24"/>
          <w:szCs w:val="24"/>
        </w:rPr>
        <w:t xml:space="preserve">1.6未被“信用中国”网站（www.creditchina.gov.cn）列入失信被执行人、重大税收违法失信主体、政府采购严重失信行为记录名单。（投标文件中可提供网络查询截图方便查阅）</w:t>
      </w:r>
      <w:r/>
    </w:p>
    <w:p>
      <w:pPr>
        <w:pStyle w:val="775"/>
        <w:spacing w:line="240" w:lineRule="auto"/>
        <w:rPr>
          <w:i/>
          <w:sz w:val="24"/>
          <w:szCs w:val="24"/>
        </w:rPr>
      </w:pPr>
      <w:r>
        <w:rPr>
          <w:rFonts w:hint="eastAsia"/>
          <w:i/>
          <w:sz w:val="24"/>
          <w:szCs w:val="24"/>
        </w:rPr>
        <w:t xml:space="preserve">注：投标人如提供《供应商基本资格承诺书》，《供应商基本资格承诺书》格式不可改写，漏写，如出现改写、漏写做无效投标处理。</w:t>
      </w:r>
      <w:r/>
    </w:p>
    <w:p>
      <w:pPr>
        <w:ind w:firstLine="480"/>
        <w:spacing w:line="360" w:lineRule="exact"/>
        <w:rPr>
          <w:rFonts w:ascii="宋体" w:hAnsi="宋体" w:cs="宋体"/>
          <w:i/>
          <w:sz w:val="24"/>
          <w:szCs w:val="24"/>
        </w:rPr>
      </w:pPr>
      <w:r>
        <w:rPr>
          <w:rFonts w:hint="eastAsia" w:ascii="宋体" w:hAnsi="宋体" w:cs="宋体"/>
          <w:i/>
          <w:sz w:val="24"/>
          <w:szCs w:val="24"/>
        </w:rPr>
        <w:t xml:space="preserve">（二）</w:t>
      </w:r>
      <w:r>
        <w:rPr>
          <w:rFonts w:ascii="宋体" w:hAnsi="宋体"/>
          <w:i/>
          <w:sz w:val="24"/>
          <w:szCs w:val="21"/>
        </w:rPr>
        <w:t xml:space="preserve">中小企业声明</w:t>
      </w:r>
      <w:r>
        <w:rPr>
          <w:rFonts w:hint="eastAsia" w:ascii="宋体" w:hAnsi="宋体"/>
          <w:i/>
          <w:sz w:val="24"/>
          <w:szCs w:val="21"/>
        </w:rPr>
        <w:t xml:space="preserve">函或残疾人福利单位声明函或监狱企业证明材料</w:t>
      </w:r>
      <w:r/>
    </w:p>
    <w:p>
      <w:pPr>
        <w:ind w:firstLine="482"/>
        <w:spacing w:line="360" w:lineRule="exact"/>
        <w:rPr>
          <w:rFonts w:ascii="宋体" w:hAnsi="宋体"/>
          <w:i/>
          <w:sz w:val="24"/>
          <w:szCs w:val="21"/>
        </w:rPr>
        <w:outlineLvl w:val="0"/>
      </w:pPr>
      <w:r/>
      <w:bookmarkStart w:id="215" w:name="OLE_LINK9"/>
      <w:r>
        <w:rPr>
          <w:rFonts w:hint="eastAsia" w:ascii="宋体" w:hAnsi="宋体"/>
          <w:i/>
          <w:sz w:val="24"/>
          <w:szCs w:val="21"/>
        </w:rPr>
        <w:t xml:space="preserve">二、投标函</w:t>
      </w:r>
      <w:r/>
    </w:p>
    <w:p>
      <w:pPr>
        <w:ind w:firstLine="482"/>
        <w:spacing w:line="360" w:lineRule="exact"/>
        <w:rPr>
          <w:rFonts w:ascii="宋体" w:hAnsi="宋体"/>
          <w:i/>
          <w:sz w:val="24"/>
          <w:szCs w:val="21"/>
        </w:rPr>
        <w:outlineLvl w:val="0"/>
      </w:pPr>
      <w:r>
        <w:rPr>
          <w:rFonts w:hint="eastAsia" w:ascii="宋体" w:hAnsi="宋体"/>
          <w:i/>
          <w:sz w:val="24"/>
          <w:szCs w:val="21"/>
        </w:rPr>
        <w:t xml:space="preserve">三、法人授权书或法定代表人身份证明（法定代表人来投标提供法定代表人身份证明）</w:t>
      </w:r>
      <w:r/>
    </w:p>
    <w:p>
      <w:pPr>
        <w:ind w:firstLine="482"/>
        <w:spacing w:line="360" w:lineRule="exact"/>
        <w:rPr>
          <w:rFonts w:ascii="宋体" w:hAnsi="宋体"/>
          <w:i/>
          <w:sz w:val="24"/>
          <w:szCs w:val="21"/>
        </w:rPr>
        <w:outlineLvl w:val="0"/>
      </w:pPr>
      <w:r>
        <w:rPr>
          <w:rFonts w:ascii="宋体" w:hAnsi="宋体"/>
          <w:i/>
          <w:sz w:val="24"/>
          <w:szCs w:val="21"/>
        </w:rPr>
        <w:t xml:space="preserve">四、</w:t>
      </w:r>
      <w:r>
        <w:rPr>
          <w:rFonts w:hint="eastAsia" w:ascii="宋体" w:hAnsi="宋体"/>
          <w:i/>
          <w:sz w:val="24"/>
          <w:szCs w:val="21"/>
        </w:rPr>
        <w:t xml:space="preserve">开标一览表</w:t>
      </w:r>
      <w:r/>
    </w:p>
    <w:p>
      <w:pPr>
        <w:ind w:firstLine="482"/>
        <w:spacing w:line="360" w:lineRule="exact"/>
        <w:rPr>
          <w:rFonts w:ascii="宋体" w:hAnsi="宋体"/>
          <w:i/>
          <w:sz w:val="24"/>
          <w:szCs w:val="21"/>
        </w:rPr>
        <w:outlineLvl w:val="0"/>
      </w:pPr>
      <w:r>
        <w:rPr>
          <w:rFonts w:hint="eastAsia" w:ascii="宋体" w:hAnsi="宋体"/>
          <w:i/>
          <w:sz w:val="24"/>
          <w:szCs w:val="21"/>
        </w:rPr>
        <w:t xml:space="preserve">五、分项报价表（报价明细表）</w:t>
      </w:r>
      <w:r/>
    </w:p>
    <w:p>
      <w:pPr>
        <w:ind w:firstLine="480"/>
        <w:spacing w:line="360" w:lineRule="exact"/>
        <w:rPr>
          <w:rFonts w:ascii="宋体" w:hAnsi="宋体"/>
          <w:i/>
          <w:sz w:val="24"/>
          <w:szCs w:val="21"/>
        </w:rPr>
        <w:outlineLvl w:val="0"/>
      </w:pPr>
      <w:r>
        <w:rPr>
          <w:rFonts w:hint="eastAsia" w:ascii="宋体" w:hAnsi="宋体"/>
          <w:i/>
          <w:sz w:val="24"/>
          <w:szCs w:val="21"/>
        </w:rPr>
        <w:t xml:space="preserve">六、响应偏离表</w:t>
      </w:r>
      <w:r/>
    </w:p>
    <w:p>
      <w:pPr>
        <w:ind w:firstLine="480"/>
        <w:spacing w:line="360" w:lineRule="exact"/>
        <w:rPr>
          <w:rFonts w:ascii="宋体" w:hAnsi="宋体"/>
          <w:i/>
          <w:sz w:val="24"/>
          <w:szCs w:val="21"/>
        </w:rPr>
        <w:outlineLvl w:val="0"/>
      </w:pPr>
      <w:r>
        <w:rPr>
          <w:rFonts w:hint="eastAsia" w:ascii="宋体" w:hAnsi="宋体"/>
          <w:i/>
          <w:sz w:val="24"/>
          <w:szCs w:val="21"/>
        </w:rPr>
        <w:t xml:space="preserve">七、项目管理一览表</w:t>
      </w:r>
      <w:r/>
    </w:p>
    <w:p>
      <w:pPr>
        <w:ind w:firstLine="480"/>
        <w:spacing w:line="360" w:lineRule="exact"/>
        <w:rPr>
          <w:rFonts w:ascii="黑体" w:eastAsia="黑体"/>
          <w:bCs/>
          <w:i/>
          <w:sz w:val="44"/>
          <w:szCs w:val="44"/>
        </w:rPr>
        <w:outlineLvl w:val="0"/>
      </w:pPr>
      <w:r>
        <w:rPr>
          <w:rFonts w:ascii="宋体" w:hAnsi="宋体"/>
          <w:i/>
          <w:sz w:val="24"/>
          <w:szCs w:val="21"/>
        </w:rPr>
        <w:t xml:space="preserve">八、</w:t>
      </w:r>
      <w:r>
        <w:rPr>
          <w:rFonts w:hint="eastAsia" w:ascii="宋体" w:hAnsi="宋体"/>
          <w:i/>
          <w:sz w:val="24"/>
          <w:szCs w:val="21"/>
        </w:rPr>
        <w:t xml:space="preserve">招标文件中规定要求提供的证明材料和投标人认为需要提供的其他材料</w:t>
      </w:r>
      <w:bookmarkEnd w:id="215"/>
      <w:r/>
      <w:r/>
    </w:p>
    <w:p>
      <w:pPr>
        <w:jc w:val="left"/>
        <w:widowControl/>
        <w:rPr>
          <w:rFonts w:ascii="黑体" w:hAnsi="黑体" w:eastAsia="黑体"/>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1：</w:t>
      </w:r>
      <w:r/>
    </w:p>
    <w:p>
      <w:pPr>
        <w:jc w:val="center"/>
        <w:widowControl/>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宋体" w:hAnsi="宋体"/>
          <w:sz w:val="24"/>
          <w:szCs w:val="24"/>
          <w:u w:val="single"/>
        </w:rPr>
      </w:pPr>
      <w:r>
        <w:rPr>
          <w:rFonts w:ascii="宋体" w:hAnsi="宋体"/>
          <w:sz w:val="24"/>
          <w:szCs w:val="24"/>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rPr>
          <w:rFonts w:hint="eastAsia" w:ascii="宋体" w:hAnsi="宋体"/>
          <w:sz w:val="24"/>
          <w:szCs w:val="24"/>
        </w:rPr>
        <w:t xml:space="preserve">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sz w:val="24"/>
          <w:szCs w:val="24"/>
        </w:rPr>
        <w:t xml:space="preserve">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我单位满足法律、行政法规规定的其他条件。</w:t>
      </w:r>
      <w:r/>
    </w:p>
    <w:p>
      <w:pPr>
        <w:ind w:firstLine="480"/>
        <w:spacing w:line="560" w:lineRule="exact"/>
        <w:rPr>
          <w:rFonts w:ascii="宋体" w:hAnsi="宋体"/>
          <w:sz w:val="24"/>
          <w:szCs w:val="24"/>
        </w:rPr>
      </w:pPr>
      <w:r>
        <w:rPr>
          <w:rFonts w:hint="eastAsia" w:ascii="宋体" w:hAnsi="宋体"/>
          <w:sz w:val="24"/>
          <w:szCs w:val="24"/>
        </w:rPr>
        <w:t xml:space="preserve">6、我公司不存在资格条件中拒绝参与本次谈判的以下情况</w:t>
      </w:r>
      <w:r>
        <w:rPr>
          <w:rFonts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（1）、供应商</w:t>
      </w:r>
      <w:r>
        <w:rPr>
          <w:rFonts w:ascii="宋体" w:hAnsi="宋体"/>
          <w:sz w:val="24"/>
          <w:szCs w:val="24"/>
        </w:rPr>
        <w:t xml:space="preserve">单位负责人为同一人或者存在直接控股、管理关系的不同供应商，不得</w:t>
      </w:r>
      <w:r>
        <w:rPr>
          <w:rFonts w:hint="eastAsia" w:ascii="宋体" w:hAnsi="宋体"/>
          <w:sz w:val="24"/>
          <w:szCs w:val="24"/>
        </w:rPr>
        <w:t xml:space="preserve">同时</w:t>
      </w:r>
      <w:r>
        <w:rPr>
          <w:rFonts w:ascii="宋体" w:hAnsi="宋体"/>
          <w:sz w:val="24"/>
          <w:szCs w:val="24"/>
        </w:rPr>
        <w:t xml:space="preserve">参加同一合同项下的政府采购活动。</w:t>
      </w:r>
      <w:r/>
    </w:p>
    <w:p>
      <w:pPr>
        <w:ind w:firstLine="480"/>
        <w:spacing w:line="560" w:lineRule="exact"/>
        <w:rPr>
          <w:rFonts w:ascii="宋体" w:hAnsi="宋体"/>
          <w:sz w:val="24"/>
          <w:szCs w:val="24"/>
        </w:rPr>
      </w:pPr>
      <w:r>
        <w:rPr>
          <w:rFonts w:hint="eastAsia" w:ascii="宋体" w:hAnsi="宋体"/>
          <w:sz w:val="24"/>
          <w:szCs w:val="24"/>
        </w:rPr>
        <w:t xml:space="preserve">（2）、凡</w:t>
      </w:r>
      <w:r>
        <w:rPr>
          <w:rFonts w:ascii="宋体" w:hAnsi="宋体"/>
          <w:sz w:val="24"/>
          <w:szCs w:val="24"/>
        </w:rPr>
        <w:t xml:space="preserve">为采购项目提供整体设计、规范编制或者项目管理、监理、检测等服务的供应商，不得再参加</w:t>
      </w:r>
      <w:r>
        <w:rPr>
          <w:rFonts w:hint="eastAsia" w:ascii="宋体" w:hAnsi="宋体"/>
          <w:sz w:val="24"/>
          <w:szCs w:val="24"/>
        </w:rPr>
        <w:t xml:space="preserve">本</w:t>
      </w:r>
      <w:r>
        <w:rPr>
          <w:rFonts w:ascii="宋体" w:hAnsi="宋体"/>
          <w:sz w:val="24"/>
          <w:szCs w:val="24"/>
        </w:rPr>
        <w:t xml:space="preserve">项目的采购活动。</w:t>
      </w:r>
      <w:r/>
    </w:p>
    <w:p>
      <w:pPr>
        <w:ind w:firstLine="480"/>
        <w:spacing w:line="560" w:lineRule="exact"/>
        <w:rPr>
          <w:rFonts w:ascii="宋体" w:hAnsi="宋体"/>
          <w:sz w:val="24"/>
          <w:szCs w:val="24"/>
        </w:rPr>
      </w:pPr>
      <w:r>
        <w:rPr>
          <w:rFonts w:hint="eastAsia" w:ascii="宋体" w:hAnsi="宋体"/>
          <w:sz w:val="24"/>
          <w:szCs w:val="24"/>
        </w:rPr>
        <w:t xml:space="preserve">（3）、供应商被“信用中国”网站、“中国政府采购网”列入失信被执行人、重大税收违法案件当事人名单、政府采购严重违法失信行为记录名单。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2338"/>
        <w:spacing w:line="560" w:lineRule="exact"/>
        <w:rPr>
          <w:rFonts w:ascii="宋体" w:hAnsi="宋体"/>
          <w:sz w:val="24"/>
          <w:szCs w:val="24"/>
        </w:rPr>
      </w:pPr>
      <w:r>
        <w:rPr>
          <w:rFonts w:ascii="宋体" w:hAnsi="宋体"/>
          <w:sz w:val="24"/>
          <w:szCs w:val="24"/>
        </w:rPr>
      </w:r>
      <w:r/>
    </w:p>
    <w:p>
      <w:pPr>
        <w:ind w:firstLine="2338"/>
        <w:spacing w:line="560" w:lineRule="exact"/>
        <w:rPr>
          <w:rFonts w:ascii="宋体" w:hAnsi="宋体"/>
          <w:sz w:val="24"/>
          <w:szCs w:val="24"/>
        </w:rPr>
      </w:pPr>
      <w:r>
        <w:rPr>
          <w:rFonts w:ascii="宋体" w:hAnsi="宋体"/>
          <w:sz w:val="24"/>
          <w:szCs w:val="24"/>
        </w:rPr>
      </w:r>
      <w:r/>
    </w:p>
    <w:p>
      <w:pPr>
        <w:ind w:firstLine="2338"/>
        <w:spacing w:line="560" w:lineRule="exact"/>
        <w:rPr>
          <w:rFonts w:ascii="宋体" w:hAnsi="宋体"/>
          <w:sz w:val="24"/>
          <w:szCs w:val="24"/>
        </w:rPr>
      </w:pPr>
      <w:r>
        <w:rPr>
          <w:rFonts w:hint="eastAsia" w:ascii="宋体" w:hAnsi="宋体"/>
          <w:sz w:val="24"/>
          <w:szCs w:val="24"/>
        </w:rPr>
        <w:t xml:space="preserve">投标人名称(盖章)：</w:t>
      </w:r>
      <w:r/>
    </w:p>
    <w:p>
      <w:pPr>
        <w:ind w:firstLine="2338"/>
        <w:spacing w:line="560" w:lineRule="exact"/>
        <w:rPr>
          <w:rFonts w:ascii="宋体" w:hAnsi="宋体"/>
          <w:sz w:val="24"/>
          <w:szCs w:val="24"/>
        </w:rPr>
      </w:pPr>
      <w:r>
        <w:rPr>
          <w:rFonts w:ascii="宋体" w:hAnsi="宋体"/>
          <w:sz w:val="24"/>
          <w:szCs w:val="24"/>
        </w:rPr>
      </w:r>
      <w:r/>
    </w:p>
    <w:p>
      <w:pPr>
        <w:ind w:left="420" w:firstLine="2400"/>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jc w:val="left"/>
        <w:spacing w:before="50" w:after="50" w:line="360" w:lineRule="exact"/>
        <w:rPr>
          <w:rFonts w:ascii="黑体" w:hAnsi="黑体" w:eastAsia="黑体"/>
          <w:bCs/>
          <w:sz w:val="32"/>
          <w:szCs w:val="32"/>
        </w:rPr>
        <w:outlineLvl w:val="0"/>
      </w:pPr>
      <w:r>
        <w:rPr>
          <w:rFonts w:ascii="黑体" w:hAnsi="黑体" w:eastAsia="黑体"/>
          <w:bCs/>
          <w:sz w:val="32"/>
          <w:szCs w:val="32"/>
        </w:rPr>
        <w:br w:type="page" w:clear="all"/>
      </w:r>
      <w:r>
        <w:rPr>
          <w:rFonts w:ascii="黑体" w:hAnsi="黑体" w:eastAsia="黑体"/>
          <w:sz w:val="32"/>
          <w:szCs w:val="32"/>
        </w:rPr>
        <w:t xml:space="preserve">附件2</w:t>
      </w:r>
      <w:r>
        <w:rPr>
          <w:rFonts w:hint="eastAsia" w:ascii="黑体" w:hAnsi="黑体" w:eastAsia="黑体"/>
          <w:sz w:val="32"/>
          <w:szCs w:val="32"/>
        </w:rPr>
        <w:t xml:space="preserve">：</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中小企业声明函（工程、服务）</w:t>
      </w:r>
      <w:r/>
    </w:p>
    <w:p>
      <w:pPr>
        <w:spacing w:line="360" w:lineRule="exact"/>
        <w:rPr>
          <w:rFonts w:ascii="宋体" w:hAnsi="宋体"/>
          <w:b/>
          <w:bCs/>
          <w:sz w:val="24"/>
          <w:szCs w:val="24"/>
        </w:rPr>
      </w:pPr>
      <w:r>
        <w:rPr>
          <w:rFonts w:ascii="宋体" w:hAnsi="宋体"/>
          <w:b/>
          <w:bCs/>
          <w:sz w:val="24"/>
          <w:szCs w:val="24"/>
        </w:rPr>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numPr>
          <w:ilvl w:val="0"/>
          <w:numId w:val="12"/>
        </w:numPr>
        <w:ind w:firstLine="480"/>
        <w:jc w:val="left"/>
        <w:spacing w:line="360" w:lineRule="exact"/>
        <w:widowControl/>
        <w:rPr>
          <w:rFonts w:ascii="宋体" w:hAnsi="宋体" w:cs="宋体"/>
          <w:sz w:val="24"/>
          <w:szCs w:val="24"/>
        </w:rPr>
      </w:pP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企业名称（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日期：</w:t>
      </w:r>
      <w:r/>
    </w:p>
    <w:p>
      <w:pPr>
        <w:pStyle w:val="775"/>
      </w:pPr>
      <w:r/>
      <w:r/>
    </w:p>
    <w:p>
      <w:pPr>
        <w:pStyle w:val="775"/>
      </w:pPr>
      <w:r/>
      <w:r/>
    </w:p>
    <w:p>
      <w:pPr>
        <w:spacing w:line="360" w:lineRule="exact"/>
        <w:rPr>
          <w:rFonts w:ascii="宋体" w:hAnsi="宋体"/>
          <w:b/>
          <w:bCs/>
          <w:szCs w:val="21"/>
        </w:rPr>
      </w:pPr>
      <w:r>
        <w:rPr>
          <w:rFonts w:hint="eastAsia" w:ascii="宋体" w:hAnsi="宋体"/>
          <w:b/>
          <w:bCs/>
          <w:szCs w:val="21"/>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1559" w:firstLine="480"/>
        <w:tabs>
          <w:tab w:val="left" w:pos="4860" w:leader="none"/>
        </w:tabs>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pStyle w:val="741"/>
        <w:rPr>
          <w:rFonts w:ascii="宋体" w:hAnsi="宋体"/>
          <w:sz w:val="24"/>
          <w:szCs w:val="24"/>
        </w:rPr>
      </w:pPr>
      <w:r>
        <w:rPr>
          <w:rFonts w:hint="eastAsia" w:ascii="宋体" w:hAnsi="宋体"/>
          <w:sz w:val="24"/>
          <w:szCs w:val="24"/>
        </w:rPr>
        <w:t xml:space="preserve">    4.</w:t>
      </w:r>
      <w:bookmarkStart w:id="216" w:name="OLE_LINK28"/>
      <w:r/>
      <w:bookmarkStart w:id="217" w:name="OLE_LINK29"/>
      <w:r>
        <w:rPr>
          <w:rFonts w:hint="eastAsia" w:ascii="宋体" w:hAnsi="宋体"/>
          <w:sz w:val="24"/>
          <w:szCs w:val="24"/>
        </w:rPr>
        <w:t xml:space="preserve">中小微企业声明函</w:t>
      </w:r>
      <w:bookmarkStart w:id="218" w:name="OLE_LINK27"/>
      <w:r>
        <w:rPr>
          <w:rFonts w:hint="eastAsia" w:ascii="宋体" w:hAnsi="宋体"/>
          <w:sz w:val="24"/>
          <w:szCs w:val="24"/>
        </w:rPr>
        <w:t xml:space="preserve">列于电子投标（响应）文件企业报价折扣证明中。</w:t>
      </w:r>
      <w:bookmarkEnd w:id="216"/>
      <w:r/>
      <w:bookmarkEnd w:id="217"/>
      <w:r/>
      <w:bookmarkEnd w:id="218"/>
      <w:r/>
      <w:r/>
    </w:p>
    <w:p>
      <w:pPr>
        <w:jc w:val="left"/>
        <w:spacing w:before="50" w:after="50" w:line="360" w:lineRule="exact"/>
        <w:rPr>
          <w:rFonts w:ascii="黑体" w:hAnsi="黑体" w:eastAsia="黑体"/>
          <w:bCs/>
          <w:sz w:val="32"/>
          <w:szCs w:val="32"/>
        </w:rPr>
        <w:outlineLvl w:val="0"/>
      </w:pPr>
      <w:r>
        <w:rPr>
          <w:rFonts w:ascii="宋体" w:hAnsi="宋体"/>
          <w:b/>
          <w:bCs/>
          <w:sz w:val="24"/>
          <w:szCs w:val="24"/>
        </w:rPr>
        <w:br w:type="page" w:clear="all"/>
      </w:r>
      <w:r>
        <w:rPr>
          <w:rFonts w:ascii="黑体" w:hAnsi="黑体" w:eastAsia="黑体"/>
          <w:sz w:val="32"/>
          <w:szCs w:val="32"/>
        </w:rPr>
        <w:t xml:space="preserve">附件3</w:t>
      </w:r>
      <w:r>
        <w:rPr>
          <w:rFonts w:hint="eastAsia" w:ascii="黑体" w:hAnsi="黑体" w:eastAsia="黑体"/>
          <w:sz w:val="32"/>
          <w:szCs w:val="32"/>
        </w:rPr>
        <w:t xml:space="preserve">：</w:t>
      </w:r>
      <w:r/>
    </w:p>
    <w:p>
      <w:pPr>
        <w:jc w:val="center"/>
        <w:spacing w:before="50" w:after="50" w:line="360" w:lineRule="exact"/>
        <w:rPr>
          <w:rFonts w:ascii="宋体" w:hAnsi="宋体"/>
          <w:b/>
          <w:bCs/>
          <w:sz w:val="24"/>
          <w:szCs w:val="24"/>
        </w:rPr>
      </w:pPr>
      <w:r>
        <w:rPr>
          <w:rFonts w:ascii="宋体" w:hAnsi="宋体"/>
          <w:b/>
          <w:bCs/>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残疾人福利性单位声明函</w:t>
      </w:r>
      <w:r/>
    </w:p>
    <w:p>
      <w:pPr>
        <w:jc w:val="center"/>
        <w:spacing w:line="360" w:lineRule="exact"/>
        <w:rPr>
          <w:rFonts w:ascii="宋体" w:hAnsi="宋体"/>
          <w:b/>
          <w:bCs/>
          <w:sz w:val="24"/>
          <w:szCs w:val="24"/>
        </w:rPr>
      </w:pPr>
      <w:r>
        <w:rPr>
          <w:rFonts w:ascii="宋体" w:hAnsi="宋体"/>
          <w:b/>
          <w:bCs/>
          <w:sz w:val="24"/>
          <w:szCs w:val="24"/>
        </w:rPr>
      </w:r>
      <w:r/>
    </w:p>
    <w:p>
      <w:pPr>
        <w:ind w:firstLine="480"/>
        <w:spacing w:line="36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exact"/>
        <w:rPr>
          <w:rFonts w:ascii="宋体" w:hAnsi="宋体"/>
          <w:sz w:val="24"/>
          <w:szCs w:val="21"/>
        </w:rPr>
      </w:pPr>
      <w:r>
        <w:rPr>
          <w:rFonts w:ascii="宋体" w:hAnsi="宋体"/>
          <w:sz w:val="24"/>
          <w:szCs w:val="21"/>
        </w:rPr>
      </w:r>
      <w:r/>
    </w:p>
    <w:p>
      <w:pPr>
        <w:ind w:firstLine="480"/>
        <w:spacing w:line="360" w:lineRule="exact"/>
        <w:rPr>
          <w:rFonts w:ascii="宋体" w:hAnsi="宋体"/>
          <w:sz w:val="24"/>
          <w:szCs w:val="21"/>
        </w:rPr>
      </w:pPr>
      <w:r>
        <w:rPr>
          <w:rFonts w:hint="eastAsia" w:ascii="宋体" w:hAnsi="宋体"/>
          <w:sz w:val="24"/>
          <w:szCs w:val="21"/>
        </w:rPr>
        <w:t xml:space="preserve">（备注：1、中标供应商为残疾人福利单位的，此声明函将随中标结果同时公告，接受社会监督）</w:t>
      </w:r>
      <w:r/>
    </w:p>
    <w:p>
      <w:pPr>
        <w:ind w:firstLine="624"/>
        <w:spacing w:line="360"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36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供应商全称（加盖CA电子公章）：</w:t>
      </w:r>
      <w:r/>
    </w:p>
    <w:p>
      <w:pPr>
        <w:ind w:right="1560" w:firstLine="480"/>
        <w:jc w:val="center"/>
        <w:spacing w:line="360" w:lineRule="exact"/>
        <w:tabs>
          <w:tab w:val="left" w:pos="4860" w:leader="none"/>
        </w:tabs>
        <w:rPr>
          <w:rFonts w:ascii="宋体" w:hAnsi="宋体"/>
          <w:sz w:val="24"/>
          <w:szCs w:val="21"/>
        </w:rPr>
      </w:pPr>
      <w:r>
        <w:rPr>
          <w:rFonts w:hint="eastAsia" w:ascii="宋体" w:hAnsi="宋体"/>
          <w:sz w:val="24"/>
          <w:szCs w:val="21"/>
        </w:rPr>
        <w:t xml:space="preserve">        日  期：</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附件4</w:t>
      </w:r>
      <w:r>
        <w:rPr>
          <w:rFonts w:hint="eastAsia" w:ascii="黑体" w:hAnsi="黑体" w:eastAsia="黑体"/>
          <w:sz w:val="32"/>
          <w:szCs w:val="32"/>
        </w:rPr>
        <w:t xml:space="preserve">：</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firstLine="640"/>
        <w:jc w:val="center"/>
        <w:spacing w:before="50" w:after="50" w:line="360" w:lineRule="exact"/>
        <w:rPr>
          <w:rFonts w:ascii="黑体" w:hAnsi="黑体" w:eastAsia="黑体"/>
          <w:sz w:val="32"/>
          <w:szCs w:val="32"/>
        </w:rPr>
      </w:pPr>
      <w:r>
        <w:rPr>
          <w:rFonts w:hint="eastAsia" w:ascii="黑体" w:hAnsi="黑体" w:eastAsia="黑体"/>
          <w:sz w:val="32"/>
          <w:szCs w:val="32"/>
        </w:rPr>
        <w:t xml:space="preserve">监狱企业证明</w:t>
      </w:r>
      <w:r/>
    </w:p>
    <w:p>
      <w:pPr>
        <w:ind w:firstLine="440"/>
        <w:jc w:val="center"/>
        <w:spacing w:line="360" w:lineRule="exact"/>
        <w:rPr>
          <w:rFonts w:ascii="宋体" w:hAnsi="宋体" w:cs="宋体"/>
          <w:sz w:val="22"/>
          <w:szCs w:val="21"/>
        </w:rPr>
      </w:pPr>
      <w:r>
        <w:rPr>
          <w:rFonts w:ascii="宋体" w:hAnsi="宋体" w:cs="宋体"/>
          <w:sz w:val="22"/>
          <w:szCs w:val="21"/>
        </w:rPr>
      </w:r>
      <w:r/>
    </w:p>
    <w:p>
      <w:pPr>
        <w:spacing w:line="360" w:lineRule="exact"/>
        <w:rPr>
          <w:rFonts w:ascii="宋体" w:hAnsi="宋体" w:eastAsia="楷体_GB2312" w:cs="宋体"/>
          <w:sz w:val="22"/>
        </w:rPr>
      </w:pPr>
      <w:r>
        <w:rPr>
          <w:rFonts w:ascii="宋体" w:hAnsi="宋体" w:eastAsia="楷体_GB2312" w:cs="宋体"/>
          <w:sz w:val="22"/>
        </w:rPr>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szCs w:val="21"/>
              </w:rPr>
              <w:t xml:space="preserve">附省级以上监狱管理局、戒毒管理局（含新疆生产建设兵团）出具的属于监狱企业的证明文件复印件并加盖公章</w:t>
            </w:r>
            <w:r/>
          </w:p>
        </w:tc>
      </w:tr>
    </w:tbl>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pStyle w:val="775"/>
        <w:ind w:firstLine="0"/>
        <w:rPr>
          <w:rFonts w:ascii="黑体" w:hAnsi="黑体" w:eastAsia="黑体"/>
          <w:bCs/>
          <w:sz w:val="32"/>
          <w:szCs w:val="32"/>
        </w:rPr>
      </w:pPr>
      <w:r>
        <w:rPr>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5：</w:t>
      </w:r>
      <w:r/>
    </w:p>
    <w:p>
      <w:pPr>
        <w:jc w:val="center"/>
        <w:spacing w:before="50" w:after="50" w:line="360" w:lineRule="exact"/>
        <w:rPr>
          <w:rFonts w:ascii="宋体" w:hAnsi="宋体"/>
          <w:sz w:val="24"/>
          <w:szCs w:val="24"/>
        </w:rPr>
      </w:pPr>
      <w:r>
        <w:rPr>
          <w:rFonts w:ascii="宋体" w:hAnsi="宋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投标函</w:t>
      </w:r>
      <w:r/>
    </w:p>
    <w:p>
      <w:pPr>
        <w:jc w:val="left"/>
        <w:spacing w:line="360" w:lineRule="exact"/>
        <w:rPr>
          <w:rFonts w:ascii="宋体" w:hAnsi="宋体" w:cs="Arial"/>
          <w:sz w:val="24"/>
          <w:szCs w:val="21"/>
        </w:rPr>
      </w:pPr>
      <w:r>
        <w:rPr>
          <w:rFonts w:hint="eastAsia" w:ascii="宋体" w:hAnsi="宋体" w:cs="Arial"/>
          <w:sz w:val="24"/>
          <w:szCs w:val="21"/>
        </w:rPr>
        <w:t xml:space="preserve">致：靖江市公共资源交易中心</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根据贵方的</w:t>
      </w:r>
      <w:r>
        <w:rPr>
          <w:rFonts w:hint="eastAsia" w:ascii="宋体" w:hAnsi="宋体" w:cs="Arial"/>
          <w:b/>
          <w:sz w:val="36"/>
          <w:szCs w:val="24"/>
          <w:u w:val="single"/>
        </w:rPr>
        <w:t xml:space="preserve">            </w:t>
      </w:r>
      <w:r>
        <w:rPr>
          <w:rFonts w:hint="eastAsia" w:ascii="宋体" w:hAnsi="宋体" w:cs="Arial"/>
          <w:sz w:val="24"/>
          <w:szCs w:val="21"/>
        </w:rPr>
        <w:t xml:space="preserve">号招标文件，正式授权下述_________________(姓名)代表我方______________（投标人的名称），全权处理本次项目投标的有关事宜。</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据此函，__________（投标人的名称）兹宣布同意如下：</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1.按招标文件规定的各项要求，向买方提供所需货物与服务。</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2.我们完全理解贵方不一定将合同授予最低报价的投标人。</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3.我们已详细审核全部招标文件及其有效补充文件，我们知道必须放弃提出含糊不清或误解问题的权利。</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4.我们同意从规定的开标日期起遵循本投标文件，并在规定的投标有效期期满之前均具有约束力。</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6.一旦我方中标,我方将根据招标文件的规定，严格履行合同的责任和义务,并保证在招标文件规定的时间完成项目，交付买方验收、使用。</w:t>
      </w:r>
      <w:r/>
    </w:p>
    <w:p>
      <w:pPr>
        <w:ind w:left="425"/>
        <w:jc w:val="left"/>
        <w:spacing w:line="360" w:lineRule="exact"/>
        <w:rPr>
          <w:rFonts w:ascii="宋体" w:hAnsi="宋体" w:cs="Arial"/>
          <w:sz w:val="24"/>
          <w:szCs w:val="21"/>
        </w:rPr>
      </w:pPr>
      <w:r>
        <w:rPr>
          <w:rFonts w:hint="eastAsia" w:ascii="宋体" w:hAnsi="宋体" w:cs="Arial"/>
          <w:sz w:val="24"/>
          <w:szCs w:val="21"/>
        </w:rPr>
        <w:t xml:space="preserve">7.与本投标有关的正式通讯地址为：</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地          址：</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邮          编：</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电          话：</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传          真：</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投标人开户行：</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账          户：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投标人名称（</w:t>
      </w:r>
      <w:r>
        <w:rPr>
          <w:rFonts w:hint="eastAsia" w:ascii="Arial" w:hAnsi="Arial" w:cs="Arial"/>
          <w:sz w:val="24"/>
          <w:szCs w:val="24"/>
          <w:u w:val="single"/>
        </w:rPr>
        <w:t xml:space="preserve">加盖</w:t>
      </w:r>
      <w:r>
        <w:rPr>
          <w:rFonts w:ascii="Arial" w:hAnsi="Arial" w:cs="Arial"/>
          <w:sz w:val="24"/>
          <w:szCs w:val="24"/>
          <w:u w:val="single"/>
        </w:rPr>
        <w:t xml:space="preserve">CA</w:t>
      </w:r>
      <w:r>
        <w:rPr>
          <w:rFonts w:hint="eastAsia" w:ascii="Arial" w:hAnsi="Arial" w:cs="Arial"/>
          <w:sz w:val="24"/>
          <w:szCs w:val="24"/>
          <w:u w:val="single"/>
        </w:rPr>
        <w:t xml:space="preserve">电子公章</w:t>
      </w:r>
      <w:r>
        <w:rPr>
          <w:rFonts w:hint="eastAsia" w:ascii="宋体" w:hAnsi="宋体" w:cs="Arial"/>
          <w:sz w:val="24"/>
          <w:szCs w:val="21"/>
        </w:rPr>
        <w:t xml:space="preserve">）：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日           期：________年____月____日</w:t>
      </w:r>
      <w:r/>
    </w:p>
    <w:p>
      <w:pPr>
        <w:ind w:firstLine="240"/>
        <w:jc w:val="center"/>
        <w:spacing w:line="360" w:lineRule="exact"/>
        <w:rPr>
          <w:rFonts w:ascii="宋体" w:hAnsi="宋体"/>
          <w:bCs/>
          <w:sz w:val="24"/>
          <w:szCs w:val="21"/>
        </w:rPr>
      </w:pPr>
      <w:r>
        <w:rPr>
          <w:rFonts w:ascii="宋体" w:hAnsi="宋体"/>
          <w:bCs/>
          <w:sz w:val="24"/>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left"/>
        <w:spacing w:before="50" w:after="50" w:line="360" w:lineRule="exact"/>
        <w:rPr>
          <w:rFonts w:ascii="黑体" w:hAnsi="黑体" w:eastAsia="黑体"/>
          <w:bCs/>
          <w:sz w:val="32"/>
          <w:szCs w:val="32"/>
        </w:rPr>
        <w:outlineLvl w:val="0"/>
      </w:pPr>
      <w:r>
        <w:rPr>
          <w:rFonts w:ascii="宋体" w:hAnsi="宋体"/>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6：</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（1）法定代表人身份证明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ascii="宋体" w:hAnsi="宋体" w:cs="Arial"/>
          <w:sz w:val="24"/>
          <w:szCs w:val="21"/>
        </w:rPr>
      </w:r>
      <w:r/>
    </w:p>
    <w:p>
      <w:pPr>
        <w:ind w:firstLine="720"/>
        <w:jc w:val="left"/>
        <w:spacing w:line="360" w:lineRule="auto"/>
        <w:rPr>
          <w:rFonts w:ascii="宋体" w:hAnsi="宋体" w:cs="Arial"/>
          <w:sz w:val="24"/>
          <w:szCs w:val="21"/>
        </w:rPr>
      </w:pPr>
      <w:r>
        <w:rPr>
          <w:rFonts w:hint="eastAsia" w:ascii="宋体" w:hAnsi="宋体" w:cs="Arial"/>
          <w:sz w:val="24"/>
          <w:szCs w:val="21"/>
        </w:rPr>
        <w:t xml:space="preserve">____________（法定代表人姓名）在我单位任</w:t>
      </w:r>
      <w:r>
        <w:rPr>
          <w:rFonts w:hint="eastAsia" w:ascii="宋体" w:hAnsi="宋体" w:cs="Arial"/>
          <w:sz w:val="24"/>
          <w:szCs w:val="21"/>
          <w:u w:val="single"/>
        </w:rPr>
        <w:t xml:space="preserve">       </w:t>
      </w:r>
      <w:r>
        <w:rPr>
          <w:rFonts w:hint="eastAsia" w:ascii="宋体" w:hAnsi="宋体" w:cs="Arial"/>
          <w:sz w:val="24"/>
          <w:szCs w:val="21"/>
        </w:rPr>
        <w:t xml:space="preserve">（董事长、总经理等）职务，是我单位的法定代表人。</w:t>
      </w:r>
      <w:r/>
    </w:p>
    <w:p>
      <w:pPr>
        <w:ind w:firstLine="720"/>
        <w:jc w:val="left"/>
        <w:spacing w:line="360" w:lineRule="auto"/>
        <w:rPr>
          <w:rFonts w:ascii="宋体" w:hAnsi="宋体" w:cs="Arial"/>
          <w:sz w:val="24"/>
          <w:szCs w:val="21"/>
        </w:rPr>
      </w:pPr>
      <w:r>
        <w:rPr>
          <w:rFonts w:hint="eastAsia" w:ascii="宋体" w:hAnsi="宋体" w:cs="Arial"/>
          <w:sz w:val="24"/>
          <w:szCs w:val="21"/>
        </w:rPr>
        <w:t xml:space="preserve">特此证明。</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jc w:val="center"/>
        <w:spacing w:before="50" w:after="50" w:line="360" w:lineRule="exact"/>
        <w:rPr>
          <w:rFonts w:ascii="黑体" w:hAnsi="黑体" w:eastAsia="黑体"/>
          <w:sz w:val="32"/>
          <w:szCs w:val="32"/>
        </w:rPr>
      </w:pPr>
      <w:r>
        <w:rPr>
          <w:rFonts w:ascii="黑体" w:hAnsi="黑体" w:eastAsia="黑体"/>
          <w:sz w:val="32"/>
          <w:szCs w:val="32"/>
        </w:rPr>
      </w:r>
      <w:r/>
    </w:p>
    <w:p>
      <w:pPr>
        <w:pStyle w:val="1048"/>
        <w:ind w:firstLine="480"/>
        <w:spacing w:line="360" w:lineRule="auto"/>
        <w:rPr>
          <w:sz w:val="24"/>
          <w:szCs w:val="24"/>
          <w:u w:val="single"/>
        </w:rPr>
      </w:pPr>
      <w:r>
        <w:rPr>
          <w:rFonts w:hint="eastAsia"/>
          <w:sz w:val="24"/>
          <w:szCs w:val="24"/>
        </w:rPr>
        <w:t xml:space="preserve">法定代表人身份证号码：</w:t>
      </w:r>
      <w:r>
        <w:rPr>
          <w:rFonts w:hint="eastAsia"/>
          <w:sz w:val="24"/>
          <w:szCs w:val="24"/>
          <w:u w:val="single"/>
        </w:rPr>
        <w:t xml:space="preserve">                                </w:t>
      </w:r>
      <w:r/>
    </w:p>
    <w:p>
      <w:pPr>
        <w:pStyle w:val="1048"/>
        <w:ind w:firstLine="480"/>
        <w:spacing w:line="360" w:lineRule="auto"/>
        <w:rPr>
          <w:sz w:val="24"/>
          <w:szCs w:val="24"/>
          <w:u w:val="single"/>
        </w:rPr>
      </w:pPr>
      <w:r>
        <w:rPr>
          <w:rFonts w:hint="eastAsia"/>
          <w:sz w:val="24"/>
          <w:szCs w:val="24"/>
        </w:rPr>
        <w:t xml:space="preserve">法定代表人联系电话：（手机）</w:t>
      </w:r>
      <w:r>
        <w:rPr>
          <w:rFonts w:hint="eastAsia"/>
          <w:sz w:val="24"/>
          <w:szCs w:val="24"/>
          <w:u w:val="single"/>
        </w:rPr>
        <w:t xml:space="preserve">                          </w:t>
      </w:r>
      <w:r/>
    </w:p>
    <w:p>
      <w:pPr>
        <w:pStyle w:val="1048"/>
        <w:ind w:firstLine="480"/>
        <w:spacing w:line="360" w:lineRule="auto"/>
        <w:rPr>
          <w:sz w:val="24"/>
          <w:szCs w:val="24"/>
        </w:rPr>
      </w:pPr>
      <w:r>
        <w:rPr>
          <w:rFonts w:hint="eastAsia"/>
          <w:sz w:val="24"/>
          <w:szCs w:val="24"/>
        </w:rPr>
        <w:t xml:space="preserve">单位名称：</w:t>
      </w:r>
      <w:r>
        <w:rPr>
          <w:rFonts w:hint="eastAsia"/>
          <w:sz w:val="24"/>
          <w:szCs w:val="24"/>
          <w:u w:val="single"/>
        </w:rPr>
        <w:t xml:space="preserve">   （加盖CA电子公章）               </w:t>
      </w:r>
      <w:r/>
    </w:p>
    <w:p>
      <w:pPr>
        <w:pStyle w:val="1048"/>
        <w:ind w:firstLine="480"/>
        <w:spacing w:line="36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1048"/>
        <w:ind w:firstLine="480"/>
        <w:spacing w:line="360" w:lineRule="auto"/>
        <w:rPr>
          <w:sz w:val="24"/>
          <w:szCs w:val="24"/>
          <w:u w:val="single"/>
        </w:rPr>
      </w:pPr>
      <w:r>
        <w:rPr>
          <w:rFonts w:hint="eastAsia"/>
          <w:sz w:val="24"/>
          <w:szCs w:val="24"/>
        </w:rPr>
        <w:t xml:space="preserve">日期：</w:t>
      </w:r>
      <w:r>
        <w:rPr>
          <w:rFonts w:hint="eastAsia"/>
          <w:sz w:val="24"/>
          <w:szCs w:val="24"/>
          <w:u w:val="single"/>
        </w:rPr>
        <w:t xml:space="preserve">                                              </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ind w:firstLine="480"/>
        <w:spacing w:before="50" w:after="50" w:line="360" w:lineRule="exact"/>
        <w:rPr>
          <w:rFonts w:ascii="楷体" w:hAnsi="楷体" w:eastAsia="楷体"/>
          <w:sz w:val="24"/>
          <w:szCs w:val="24"/>
        </w:rPr>
      </w:pPr>
      <w:r>
        <w:rPr>
          <w:rFonts w:hint="eastAsia" w:ascii="楷体" w:hAnsi="楷体" w:eastAsia="楷体"/>
          <w:sz w:val="24"/>
          <w:szCs w:val="24"/>
        </w:rPr>
        <w:t xml:space="preserve">法人代表身份证扫描件： </w:t>
      </w:r>
      <w:r/>
    </w:p>
    <w:p>
      <w:pPr>
        <w:pStyle w:val="741"/>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pStyle w:val="742"/>
        <w:rPr>
          <w:rFonts w:ascii="楷体" w:hAnsi="楷体" w:eastAsia="楷体"/>
          <w:sz w:val="24"/>
          <w:szCs w:val="24"/>
        </w:rPr>
      </w:pPr>
      <w:r>
        <w:rPr>
          <w:rFonts w:ascii="楷体" w:hAnsi="楷体" w:eastAsia="楷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（2）法人授权书</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____________（投标人名称）授权________________（被授权人的姓名）为我方就</w:t>
      </w:r>
      <w:r>
        <w:rPr>
          <w:rFonts w:hint="eastAsia" w:ascii="宋体" w:hAnsi="宋体" w:cs="Arial"/>
          <w:sz w:val="24"/>
          <w:szCs w:val="21"/>
          <w:u w:val="single"/>
        </w:rPr>
        <w:t xml:space="preserve">        </w:t>
      </w:r>
      <w:r>
        <w:rPr>
          <w:rFonts w:hint="eastAsia" w:ascii="宋体" w:hAnsi="宋体" w:cs="Arial"/>
          <w:sz w:val="24"/>
          <w:szCs w:val="21"/>
        </w:rPr>
        <w:t xml:space="preserve">号项目采购活动的合法代理人，以本单位名义全权处理一切与该项目采购有关的事务。</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本授权书于______年____月____日起生效，特此声明。</w:t>
      </w:r>
      <w:r/>
    </w:p>
    <w:p>
      <w:pPr>
        <w:ind w:firstLine="480"/>
        <w:jc w:val="left"/>
        <w:spacing w:line="360" w:lineRule="exact"/>
        <w:rPr>
          <w:rFonts w:ascii="宋体" w:hAnsi="宋体" w:cs="Arial"/>
          <w:sz w:val="24"/>
          <w:szCs w:val="21"/>
        </w:rPr>
      </w:pPr>
      <w:r>
        <w:rPr>
          <w:rFonts w:ascii="宋体" w:hAnsi="宋体" w:cs="Arial"/>
          <w:sz w:val="24"/>
          <w:szCs w:val="21"/>
        </w:rPr>
      </w:r>
      <w:r/>
    </w:p>
    <w:p>
      <w:pPr>
        <w:pStyle w:val="1048"/>
        <w:ind w:firstLine="480"/>
        <w:spacing w:line="360" w:lineRule="auto"/>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048"/>
        <w:ind w:firstLine="480"/>
        <w:spacing w:line="360" w:lineRule="auto"/>
        <w:rPr>
          <w:sz w:val="24"/>
          <w:szCs w:val="24"/>
          <w:u w:val="single"/>
        </w:rPr>
      </w:pPr>
      <w:r>
        <w:rPr>
          <w:rFonts w:hint="eastAsia"/>
          <w:sz w:val="24"/>
          <w:szCs w:val="24"/>
        </w:rPr>
        <w:t xml:space="preserve">被授权人联系电话：（手机）</w:t>
      </w:r>
      <w:r>
        <w:rPr>
          <w:rFonts w:hint="eastAsia"/>
          <w:sz w:val="24"/>
          <w:szCs w:val="24"/>
          <w:u w:val="single"/>
        </w:rPr>
        <w:t xml:space="preserve">                          </w:t>
      </w:r>
      <w:r/>
    </w:p>
    <w:p>
      <w:pPr>
        <w:pStyle w:val="1048"/>
        <w:ind w:firstLine="480"/>
        <w:spacing w:line="360" w:lineRule="auto"/>
        <w:rPr>
          <w:sz w:val="24"/>
          <w:szCs w:val="24"/>
        </w:rPr>
      </w:pPr>
      <w:r>
        <w:rPr>
          <w:rFonts w:hint="eastAsia"/>
          <w:sz w:val="24"/>
          <w:szCs w:val="24"/>
        </w:rPr>
        <w:t xml:space="preserve">授权单位名称：</w:t>
      </w:r>
      <w:r>
        <w:rPr>
          <w:rFonts w:hint="eastAsia"/>
          <w:sz w:val="24"/>
          <w:szCs w:val="24"/>
          <w:u w:val="single"/>
        </w:rPr>
        <w:t xml:space="preserve">   （加盖CA电子公章）               </w:t>
      </w:r>
      <w:r/>
    </w:p>
    <w:p>
      <w:pPr>
        <w:pStyle w:val="1048"/>
        <w:ind w:firstLine="480"/>
        <w:spacing w:line="36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1048"/>
        <w:ind w:firstLine="480"/>
        <w:spacing w:line="360" w:lineRule="auto"/>
        <w:rPr>
          <w:sz w:val="24"/>
          <w:szCs w:val="24"/>
          <w:u w:val="single"/>
        </w:rPr>
      </w:pPr>
      <w:r>
        <w:rPr>
          <w:rFonts w:hint="eastAsia"/>
          <w:sz w:val="24"/>
          <w:szCs w:val="24"/>
        </w:rPr>
        <w:t xml:space="preserve">日期：</w:t>
      </w:r>
      <w:bookmarkStart w:id="219" w:name="_Hlt26671380"/>
      <w:r/>
      <w:bookmarkEnd w:id="219"/>
      <w:r/>
      <w:bookmarkStart w:id="220" w:name="_格式3__银行出具的资信证明"/>
      <w:r/>
      <w:bookmarkEnd w:id="220"/>
      <w:r/>
      <w:bookmarkStart w:id="221" w:name="_Hlt26955070"/>
      <w:r/>
      <w:bookmarkEnd w:id="221"/>
      <w:r>
        <w:rPr>
          <w:rFonts w:hint="eastAsia"/>
          <w:sz w:val="24"/>
          <w:szCs w:val="24"/>
          <w:u w:val="single"/>
        </w:rPr>
        <w:t xml:space="preserve">                                              </w:t>
      </w:r>
      <w:r/>
    </w:p>
    <w:p>
      <w:pPr>
        <w:spacing w:line="360" w:lineRule="exact"/>
        <w:rPr>
          <w:sz w:val="20"/>
          <w:szCs w:val="20"/>
        </w:rPr>
      </w:pPr>
      <w:r>
        <w:rPr>
          <w:sz w:val="20"/>
          <w:szCs w:val="20"/>
        </w:r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法人代表身份证扫描件：                      被授权人身份证扫描件：</w:t>
      </w:r>
      <w:r/>
    </w:p>
    <w:p>
      <w:pPr>
        <w:jc w:val="center"/>
        <w:rPr>
          <w:rFonts w:ascii="宋体" w:hAnsi="宋体"/>
          <w:b/>
          <w:bCs/>
          <w:szCs w:val="21"/>
        </w:rPr>
      </w:pPr>
      <w:r>
        <w:rPr>
          <w:rFonts w:ascii="宋体" w:hAnsi="宋体"/>
          <w:b/>
          <w:bCs/>
          <w:szCs w:val="21"/>
        </w:r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pStyle w:val="775"/>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7：</w:t>
      </w:r>
      <w:r/>
    </w:p>
    <w:p>
      <w:pPr>
        <w:pStyle w:val="775"/>
      </w:p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Style w:val="740"/>
        <w:tblW w:w="4829"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613"/>
        <w:gridCol w:w="2427"/>
        <w:gridCol w:w="3104"/>
      </w:tblGrid>
      <w:tr>
        <w:trPr>
          <w:tblCellSpacing w:w="15" w:type="dxa"/>
          <w:trHeight w:val="339"/>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总价（小写）</w:t>
            </w:r>
            <w:r/>
          </w:p>
        </w:tc>
      </w:tr>
      <w:tr>
        <w:trPr>
          <w:tblCellSpacing w:w="15" w:type="dxa"/>
          <w:trHeight w:val="468"/>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rPr>
                <w:rFonts w:ascii="宋体" w:hAnsi="宋体" w:cs="宋体"/>
                <w:sz w:val="24"/>
                <w:szCs w:val="24"/>
              </w:rPr>
              <w:t xml:space="preserve"> </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t xml:space="preserve"> 元</w:t>
            </w:r>
            <w:r/>
          </w:p>
        </w:tc>
      </w:tr>
      <w:tr>
        <w:trPr>
          <w:tblCellSpacing w:w="15" w:type="dxa"/>
          <w:trHeight w:val="323"/>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3362"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bookmarkStart w:id="222" w:name="OLE_LINK11"/>
      <w:r>
        <w:rPr>
          <w:rFonts w:ascii="宋体" w:hAnsi="宋体" w:cs="宋体"/>
          <w:sz w:val="24"/>
          <w:szCs w:val="24"/>
        </w:rPr>
        <w:t xml:space="preserve">投标人公章：（电子签章）</w:t>
      </w:r>
      <w:bookmarkEnd w:id="222"/>
      <w:r/>
      <w:r/>
    </w:p>
    <w:p>
      <w:pPr>
        <w:rPr>
          <w:rFonts w:ascii="黑体" w:eastAsia="黑体"/>
          <w:bCs/>
          <w:sz w:val="32"/>
        </w:rPr>
      </w:pPr>
      <w:r>
        <w:rPr>
          <w:rFonts w:ascii="黑体" w:eastAsia="黑体"/>
          <w:bCs/>
          <w:sz w:val="32"/>
        </w:rPr>
      </w:r>
      <w:r/>
    </w:p>
    <w:p>
      <w:pPr>
        <w:ind w:left="720" w:hanging="720"/>
        <w:rPr>
          <w:b/>
          <w:i/>
        </w:rPr>
      </w:pPr>
      <w:r>
        <w:rPr>
          <w:rFonts w:hint="eastAsia" w:ascii="宋体" w:hAnsi="宋体" w:cs="宋体"/>
          <w:sz w:val="24"/>
          <w:szCs w:val="24"/>
        </w:rPr>
        <w:t xml:space="preserve">说明：1、</w:t>
      </w:r>
      <w:r>
        <w:rPr>
          <w:rFonts w:hint="eastAsia" w:cs="宋体"/>
          <w:b/>
          <w:i/>
          <w:sz w:val="24"/>
          <w:szCs w:val="24"/>
        </w:rPr>
        <w:t xml:space="preserve">总价为23个月的总报价，否则为无效报价</w:t>
      </w:r>
      <w:r/>
    </w:p>
    <w:p>
      <w:pPr>
        <w:rPr>
          <w:rFonts w:ascii="宋体"/>
          <w:b/>
          <w:sz w:val="24"/>
        </w:rPr>
      </w:pPr>
      <w:r>
        <w:rPr>
          <w:rFonts w:ascii="宋体"/>
          <w:b/>
          <w:sz w:val="24"/>
        </w:rPr>
      </w:r>
      <w:r/>
    </w:p>
    <w:p>
      <w:pPr>
        <w:pStyle w:val="775"/>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8：</w:t>
      </w:r>
      <w:r/>
    </w:p>
    <w:p>
      <w:pPr>
        <w:jc w:val="center"/>
        <w:spacing w:line="360" w:lineRule="auto"/>
        <w:rPr>
          <w:rFonts w:ascii="宋体" w:hAnsi="宋体"/>
          <w:b/>
          <w:sz w:val="24"/>
          <w:szCs w:val="24"/>
        </w:rPr>
      </w:pPr>
      <w:r/>
      <w:bookmarkStart w:id="223" w:name="_Hlt26955054"/>
      <w:r/>
      <w:bookmarkEnd w:id="223"/>
      <w:r>
        <w:rPr>
          <w:rFonts w:hint="eastAsia" w:ascii="宋体" w:hAnsi="宋体"/>
          <w:b/>
          <w:sz w:val="24"/>
          <w:szCs w:val="24"/>
        </w:rPr>
        <w:t xml:space="preserve">分项报价表</w:t>
      </w:r>
      <w:r/>
    </w:p>
    <w:p>
      <w:pPr>
        <w:ind w:firstLine="420"/>
        <w:rPr>
          <w:sz w:val="24"/>
          <w:szCs w:val="24"/>
        </w:rPr>
      </w:pPr>
      <w:r>
        <w:rPr>
          <w:rFonts w:hint="eastAsia"/>
          <w:sz w:val="24"/>
          <w:szCs w:val="24"/>
        </w:rPr>
        <w:t xml:space="preserve">项目所在地为靖江，</w:t>
      </w:r>
      <w:r>
        <w:rPr>
          <w:sz w:val="24"/>
          <w:szCs w:val="24"/>
        </w:rPr>
        <w:t xml:space="preserve">202</w:t>
      </w:r>
      <w:r>
        <w:rPr>
          <w:rFonts w:hint="eastAsia"/>
          <w:sz w:val="24"/>
          <w:szCs w:val="24"/>
        </w:rPr>
        <w:t xml:space="preserve">5年靖江最低工资标准为</w:t>
      </w:r>
      <w:r>
        <w:rPr>
          <w:sz w:val="24"/>
          <w:szCs w:val="24"/>
        </w:rPr>
        <w:t xml:space="preserve">2260</w:t>
      </w:r>
      <w:r>
        <w:rPr>
          <w:rFonts w:hint="eastAsia"/>
          <w:sz w:val="24"/>
          <w:szCs w:val="24"/>
        </w:rPr>
        <w:t xml:space="preserve">元</w:t>
      </w:r>
      <w:r>
        <w:rPr>
          <w:sz w:val="24"/>
          <w:szCs w:val="24"/>
        </w:rPr>
        <w:t xml:space="preserve">/</w:t>
      </w:r>
      <w:r>
        <w:rPr>
          <w:rFonts w:hint="eastAsia"/>
          <w:sz w:val="24"/>
          <w:szCs w:val="24"/>
        </w:rPr>
        <w:t xml:space="preserve">月，五险缴费基数为</w:t>
      </w:r>
      <w:r>
        <w:rPr>
          <w:sz w:val="24"/>
          <w:szCs w:val="24"/>
        </w:rPr>
        <w:t xml:space="preserve">4</w:t>
      </w:r>
      <w:r>
        <w:rPr>
          <w:rFonts w:hint="eastAsia"/>
          <w:sz w:val="24"/>
          <w:szCs w:val="24"/>
        </w:rPr>
        <w:t xml:space="preserve">952元。</w:t>
      </w:r>
      <w:r/>
    </w:p>
    <w:p>
      <w:pPr>
        <w:ind w:firstLine="420"/>
        <w:rPr>
          <w:sz w:val="24"/>
          <w:szCs w:val="24"/>
        </w:rPr>
      </w:pPr>
      <w:r>
        <w:rPr>
          <w:rFonts w:hint="eastAsia"/>
          <w:sz w:val="24"/>
          <w:szCs w:val="24"/>
        </w:rPr>
        <w:t xml:space="preserve">供应商为本项目服务团队员工社保及公积金缴纳地（需填写至本项目服务团队员工社保及公积金缴纳本级）为</w:t>
      </w:r>
      <w:r>
        <w:rPr>
          <w:sz w:val="24"/>
          <w:szCs w:val="24"/>
          <w:u w:val="single"/>
        </w:rPr>
        <w:t xml:space="preserve">    </w:t>
      </w:r>
      <w:r>
        <w:rPr>
          <w:rFonts w:hint="eastAsia"/>
          <w:sz w:val="24"/>
          <w:szCs w:val="24"/>
        </w:rPr>
        <w:t xml:space="preserve">省</w:t>
      </w:r>
      <w:r>
        <w:rPr>
          <w:sz w:val="24"/>
          <w:szCs w:val="24"/>
          <w:u w:val="single"/>
        </w:rPr>
        <w:t xml:space="preserve">     </w:t>
      </w:r>
      <w:r>
        <w:rPr>
          <w:rFonts w:hint="eastAsia"/>
          <w:sz w:val="24"/>
          <w:szCs w:val="24"/>
        </w:rPr>
        <w:t xml:space="preserve">市：</w:t>
      </w:r>
      <w:r/>
    </w:p>
    <w:p>
      <w:pPr>
        <w:pStyle w:val="741"/>
      </w:pPr>
      <w:r/>
      <w:r/>
    </w:p>
    <w:tbl>
      <w:tblPr>
        <w:tblStyle w:val="740"/>
        <w:tblpPr w:horzAnchor="margin" w:tblpXSpec="left" w:vertAnchor="text" w:tblpY="161" w:leftFromText="180" w:topFromText="0" w:rightFromText="180" w:bottomFromText="0"/>
        <w:tblW w:w="91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927"/>
        <w:gridCol w:w="1080"/>
        <w:gridCol w:w="1255"/>
        <w:gridCol w:w="1221"/>
        <w:gridCol w:w="1500"/>
        <w:gridCol w:w="1494"/>
      </w:tblGrid>
      <w:tr>
        <w:trPr>
          <w:cantSplit/>
          <w:trHeight w:val="20"/>
          <w:tblHeader/>
        </w:trPr>
        <w:tc>
          <w:tcPr>
            <w:shd w:val="clear" w:color="auto" w:fill="ffffff"/>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jc w:val="center"/>
              <w:spacing w:line="360" w:lineRule="auto"/>
              <w:rPr>
                <w:rFonts w:ascii="宋体" w:hAnsi="宋体"/>
                <w:bCs/>
              </w:rPr>
            </w:pPr>
            <w:r>
              <w:rPr>
                <w:rFonts w:hint="eastAsia" w:ascii="宋体" w:hAnsi="宋体"/>
                <w:bCs/>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W w:w="1927" w:type="dxa"/>
            <w:vAlign w:val="center"/>
            <w:textDirection w:val="lrTb"/>
            <w:noWrap w:val="false"/>
          </w:tcPr>
          <w:p>
            <w:pPr>
              <w:jc w:val="center"/>
              <w:spacing w:line="360" w:lineRule="auto"/>
              <w:rPr>
                <w:rFonts w:ascii="宋体" w:hAnsi="宋体"/>
                <w:bCs/>
              </w:rPr>
            </w:pPr>
            <w:r>
              <w:rPr>
                <w:rFonts w:hint="eastAsia" w:ascii="宋体" w:hAnsi="宋体"/>
                <w:bCs/>
              </w:rPr>
              <w:t xml:space="preserve">服务项目名称</w:t>
            </w:r>
            <w:r/>
          </w:p>
        </w:tc>
        <w:tc>
          <w:tcPr>
            <w:shd w:val="clear" w:color="auto" w:fill="ffffff"/>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jc w:val="center"/>
              <w:spacing w:line="360" w:lineRule="auto"/>
              <w:rPr>
                <w:rFonts w:ascii="宋体" w:hAnsi="宋体"/>
                <w:bCs/>
              </w:rPr>
            </w:pPr>
            <w:r>
              <w:rPr>
                <w:rFonts w:hint="eastAsia" w:ascii="宋体" w:hAnsi="宋体"/>
                <w:bCs/>
              </w:rPr>
              <w:t xml:space="preserve">分项单价</w:t>
            </w:r>
            <w:r/>
          </w:p>
        </w:tc>
        <w:tc>
          <w:tcPr>
            <w:shd w:val="clear" w:color="auto" w:fill="ffffff"/>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单价单位</w:t>
            </w:r>
            <w:r/>
          </w:p>
        </w:tc>
        <w:tc>
          <w:tcPr>
            <w:shd w:val="clear" w:color="auto" w:fill="ffffff"/>
            <w:tcBorders>
              <w:top w:val="single" w:color="000000" w:sz="6" w:space="0"/>
              <w:left w:val="single" w:color="000000" w:sz="4" w:space="0"/>
              <w:bottom w:val="single" w:color="000000" w:sz="6"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人数</w:t>
            </w:r>
            <w:r/>
          </w:p>
        </w:tc>
        <w:tc>
          <w:tcPr>
            <w:shd w:val="clear" w:color="auto" w:fill="ffffff"/>
            <w:tcBorders>
              <w:top w:val="single" w:color="000000" w:sz="6" w:space="0"/>
              <w:left w:val="single" w:color="000000" w:sz="4" w:space="0"/>
              <w:bottom w:val="single" w:color="000000" w:sz="6" w:space="0"/>
              <w:right w:val="single" w:color="000000" w:sz="4" w:space="0"/>
            </w:tcBorders>
            <w:tcW w:w="1500" w:type="dxa"/>
            <w:vAlign w:val="center"/>
            <w:textDirection w:val="lrTb"/>
            <w:noWrap w:val="false"/>
          </w:tcPr>
          <w:p>
            <w:pPr>
              <w:jc w:val="center"/>
              <w:spacing w:line="360" w:lineRule="auto"/>
              <w:rPr>
                <w:rFonts w:ascii="宋体" w:hAnsi="宋体"/>
                <w:bCs/>
              </w:rPr>
            </w:pPr>
            <w:r>
              <w:rPr>
                <w:rFonts w:hint="eastAsia" w:ascii="宋体" w:hAnsi="宋体"/>
                <w:bCs/>
              </w:rPr>
              <w:t xml:space="preserve">年（12个月）小计</w:t>
            </w:r>
            <w:r/>
          </w:p>
        </w:tc>
        <w:tc>
          <w:tcPr>
            <w:shd w:val="clear" w:color="auto" w:fill="ffffff"/>
            <w:tcBorders>
              <w:top w:val="single" w:color="000000" w:sz="6" w:space="0"/>
              <w:left w:val="single" w:color="000000" w:sz="4" w:space="0"/>
              <w:bottom w:val="single" w:color="000000" w:sz="6" w:space="0"/>
              <w:right w:val="single" w:color="000000" w:sz="4" w:space="0"/>
            </w:tcBorders>
            <w:tcW w:w="1494" w:type="dxa"/>
            <w:vAlign w:val="center"/>
            <w:textDirection w:val="lrTb"/>
            <w:noWrap w:val="false"/>
          </w:tcPr>
          <w:p>
            <w:pPr>
              <w:jc w:val="center"/>
              <w:spacing w:line="360" w:lineRule="auto"/>
              <w:rPr>
                <w:rFonts w:ascii="宋体" w:hAnsi="宋体"/>
                <w:bCs/>
              </w:rPr>
            </w:pPr>
            <w:r>
              <w:rPr>
                <w:rFonts w:hint="eastAsia" w:ascii="宋体" w:hAnsi="宋体"/>
                <w:bCs/>
              </w:rPr>
              <w:t xml:space="preserve">备注</w:t>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一</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人员工资</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ascii="宋体" w:hAnsi="宋体"/>
                <w:bCs/>
              </w:rPr>
            </w:r>
            <w:r/>
          </w:p>
        </w:tc>
      </w:tr>
      <w:tr>
        <w:trPr>
          <w:cantSplit/>
          <w:trHeight w:val="657"/>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项目负责人</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657"/>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项目负责人加班费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附页详细说明加班费用组成</w:t>
            </w:r>
            <w:r/>
          </w:p>
        </w:tc>
      </w:tr>
      <w:tr>
        <w:trPr>
          <w:cantSplit/>
          <w:trHeight w:val="20"/>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保洁主管</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bookmarkStart w:id="224" w:name="_Hlk194478015"/>
            <w:r/>
            <w:bookmarkStart w:id="225" w:name="_Hlk194478018"/>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保洁主管加班费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附页详细说明加班费用组成</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3</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绿化主管</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bookmarkStart w:id="226" w:name="OLE_LINK53"/>
            <w:r/>
            <w:bookmarkStart w:id="227" w:name="OLE_LINK54"/>
            <w:r>
              <w:rPr>
                <w:rFonts w:hint="eastAsia" w:ascii="宋体" w:hAnsi="宋体"/>
                <w:bCs/>
              </w:rPr>
              <w:t xml:space="preserve">元/人、月</w:t>
            </w:r>
            <w:bookmarkEnd w:id="226"/>
            <w:r/>
            <w:bookmarkEnd w:id="227"/>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bookmarkStart w:id="228" w:name="OLE_LINK58"/>
            <w:r>
              <w:rPr>
                <w:rFonts w:hint="eastAsia" w:ascii="宋体" w:hAnsi="宋体"/>
                <w:bCs/>
              </w:rPr>
              <w:t xml:space="preserve">低于最低工资标准需说明理由</w:t>
            </w:r>
            <w:bookmarkEnd w:id="224"/>
            <w:r/>
            <w:bookmarkEnd w:id="228"/>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绿化主管加班费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附页详细说明加班费用组成</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4</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专项保洁员</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2</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专项保洁员加班费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附页详细说明加班费用组成</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5</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河面清洁员</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河面清洁员加班费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附页详细说明加班费用组成</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6</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保洁员</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64</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保洁员加班费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附页详细说明加班费用组成</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7</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绿化工</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6</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bottom w:val="single" w:color="000000" w:sz="4" w:space="0"/>
              <w:right w:val="single" w:color="000000" w:sz="6" w:space="0"/>
            </w:tcBorders>
            <w:tcW w:w="628" w:type="dxa"/>
            <w:vAlign w:val="center"/>
            <w:vMerge w:val="continue"/>
            <w:textDirection w:val="lrTb"/>
            <w:noWrap w:val="false"/>
          </w:tcPr>
          <w:p>
            <w:pPr>
              <w:jc w:val="left"/>
              <w:widowControl/>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绿化工</w:t>
            </w:r>
            <w:r>
              <w:rPr>
                <w:rFonts w:ascii="宋体" w:hAnsi="宋体" w:cs="Arial Unicode MS"/>
              </w:rPr>
              <w:t xml:space="preserve">加班费用</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                 </w:t>
            </w:r>
            <w:bookmarkStart w:id="229" w:name="OLE_LINK56"/>
            <w:r/>
            <w:bookmarkStart w:id="230" w:name="OLE_LINK55"/>
            <w:r>
              <w:rPr>
                <w:rFonts w:hint="eastAsia" w:ascii="宋体" w:hAnsi="宋体"/>
                <w:bCs/>
              </w:rPr>
              <w:t xml:space="preserve"> 元</w:t>
            </w:r>
            <w:bookmarkEnd w:id="229"/>
            <w:r/>
            <w:bookmarkEnd w:id="230"/>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附页详细说明加班费用组成</w:t>
            </w:r>
            <w:bookmarkEnd w:id="225"/>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二</w:t>
            </w:r>
            <w:r/>
          </w:p>
        </w:tc>
        <w:tc>
          <w:tcPr>
            <w:gridSpan w:val="3"/>
            <w:tcBorders>
              <w:top w:val="single" w:color="000000" w:sz="4" w:space="0"/>
              <w:left w:val="single" w:color="000000" w:sz="6" w:space="0"/>
              <w:bottom w:val="single" w:color="000000" w:sz="4" w:space="0"/>
              <w:right w:val="single" w:color="000000" w:sz="4" w:space="0"/>
            </w:tcBorders>
            <w:tcW w:w="4262" w:type="dxa"/>
            <w:vAlign w:val="center"/>
            <w:textDirection w:val="lrTb"/>
            <w:noWrap w:val="false"/>
          </w:tcPr>
          <w:p>
            <w:pPr>
              <w:ind w:firstLine="1890"/>
              <w:jc w:val="left"/>
              <w:spacing w:line="360" w:lineRule="auto"/>
              <w:rPr>
                <w:rFonts w:ascii="宋体" w:hAnsi="宋体"/>
                <w:bCs/>
              </w:rPr>
            </w:pPr>
            <w:r>
              <w:rPr>
                <w:rFonts w:hint="eastAsia" w:ascii="宋体" w:hAnsi="宋体" w:cs="Arial Unicode MS"/>
              </w:rPr>
              <w:t xml:space="preserve">社会保险</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i/>
                <w:u w:val="single"/>
              </w:rPr>
            </w:pPr>
            <w:r>
              <w:rPr>
                <w:rFonts w:hint="eastAsia" w:ascii="宋体" w:hAnsi="宋体"/>
                <w:bCs/>
              </w:rPr>
              <w:t xml:space="preserve">76</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cs="Arial Unicode MS"/>
              </w:rPr>
              <w:t xml:space="preserve">说明保险缴纳地基数及各项缴纳标准，如减少说明理由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养老保险缴费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医疗保险缴费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3</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大病救助保险</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6"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6"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失业保险缴费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6"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6"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工伤保险缴费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6"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6"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6</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rPr>
                <w:rFonts w:ascii="宋体" w:hAnsi="宋体" w:cs="Arial Unicode MS"/>
              </w:rPr>
            </w:pPr>
            <w:r/>
            <w:bookmarkStart w:id="231" w:name="OLE_LINK6"/>
            <w:r/>
            <w:bookmarkStart w:id="232" w:name="OLE_LINK5"/>
            <w:r>
              <w:rPr>
                <w:rFonts w:hint="eastAsia" w:ascii="宋体" w:hAnsi="宋体" w:cs="Arial Unicode MS"/>
              </w:rPr>
              <w:t xml:space="preserve">公众责任险</w:t>
            </w:r>
            <w:r/>
          </w:p>
          <w:p>
            <w:pPr>
              <w:jc w:val="center"/>
              <w:rPr>
                <w:rFonts w:ascii="宋体" w:hAnsi="宋体" w:cs="Arial Unicode MS"/>
              </w:rPr>
            </w:pPr>
            <w:r>
              <w:rPr>
                <w:rFonts w:hint="eastAsia" w:ascii="宋体" w:hAnsi="宋体" w:cs="Arial Unicode MS"/>
              </w:rPr>
              <w:t xml:space="preserve">（第三方意外险）或雇主责任险</w:t>
            </w:r>
            <w:bookmarkEnd w:id="231"/>
            <w:r/>
            <w:bookmarkEnd w:id="232"/>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bookmarkStart w:id="233" w:name="OLE_LINK33"/>
            <w:r>
              <w:rPr>
                <w:rFonts w:hint="eastAsia" w:ascii="宋体" w:hAnsi="宋体"/>
              </w:rPr>
              <w:t xml:space="preserve">元/年</w:t>
            </w:r>
            <w:bookmarkEnd w:id="233"/>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三</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服装费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四</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物资及耗材</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bCs/>
              </w:rPr>
              <w:t xml:space="preserve">附页详细说明</w:t>
            </w:r>
            <w:r>
              <w:rPr>
                <w:rFonts w:hint="eastAsia" w:ascii="宋体" w:hAnsi="宋体" w:cs="Arial Unicode MS"/>
              </w:rPr>
              <w:t xml:space="preserve">物资及耗材费用的组成，格式参考《物资及耗材明细表》</w:t>
            </w:r>
            <w:r/>
          </w:p>
        </w:tc>
      </w:tr>
      <w:tr>
        <w:trPr>
          <w:cantSplit/>
          <w:trHeight w:val="9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五</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不可预测费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六</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员工福利</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七</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管理费及利润</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cs="Arial Unicode MS"/>
              </w:rPr>
              <w:t xml:space="preserve">特殊情况说明</w:t>
            </w:r>
            <w:r/>
          </w:p>
          <w:p>
            <w:pPr>
              <w:jc w:val="center"/>
              <w:rPr>
                <w:rFonts w:ascii="宋体" w:hAnsi="宋体" w:cs="Arial Unicode MS"/>
              </w:rPr>
            </w:pPr>
            <w:r>
              <w:rPr>
                <w:rFonts w:hint="eastAsia" w:ascii="宋体" w:hAnsi="宋体" w:cs="Arial Unicode MS"/>
              </w:rPr>
              <w:t xml:space="preserve">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八</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rPr>
                <w:rFonts w:ascii="宋体" w:hAnsi="宋体" w:cs="Arial Unicode MS"/>
              </w:rPr>
            </w:pPr>
            <w:r>
              <w:rPr>
                <w:rFonts w:hint="eastAsia" w:ascii="宋体" w:hAnsi="宋体" w:cs="Arial Unicode MS"/>
              </w:rPr>
              <w:t xml:space="preserve">各项税费</w:t>
            </w:r>
            <w:r/>
          </w:p>
          <w:p>
            <w:pPr>
              <w:jc w:val="center"/>
              <w:rPr>
                <w:rFonts w:ascii="宋体" w:hAnsi="宋体" w:cs="Arial Unicode MS"/>
              </w:rPr>
            </w:pPr>
            <w:r>
              <w:rPr>
                <w:rFonts w:hint="eastAsia" w:ascii="宋体" w:hAnsi="宋体" w:cs="Arial Unicode MS"/>
              </w:rPr>
              <w:t xml:space="preserve">（综合税费）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cs="Arial Unicode MS"/>
              </w:rPr>
              <w:t xml:space="preserve">说明缴纳标准，如有特殊情况说明理由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九</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rPr>
                <w:rFonts w:ascii="宋体" w:hAnsi="宋体" w:cs="Arial Unicode MS"/>
              </w:rPr>
            </w:pPr>
            <w:r>
              <w:rPr>
                <w:rFonts w:hint="eastAsia" w:ascii="宋体" w:hAnsi="宋体" w:cs="Arial Unicode MS"/>
              </w:rPr>
              <w:t xml:space="preserve">其他</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ind w:firstLine="420"/>
              <w:jc w:val="center"/>
              <w:spacing w:line="360" w:lineRule="auto"/>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gridSpan w:val="2"/>
            <w:tcBorders>
              <w:top w:val="single" w:color="000000" w:sz="4" w:space="0"/>
              <w:left w:val="single" w:color="000000" w:sz="6" w:space="0"/>
              <w:bottom w:val="single" w:color="000000" w:sz="4" w:space="0"/>
              <w:right w:val="single" w:color="000000" w:sz="6" w:space="0"/>
            </w:tcBorders>
            <w:tcW w:w="25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23个月总计</w:t>
            </w:r>
            <w:r/>
          </w:p>
        </w:tc>
        <w:tc>
          <w:tcPr>
            <w:gridSpan w:val="5"/>
            <w:tcBorders>
              <w:top w:val="single" w:color="000000" w:sz="4" w:space="0"/>
              <w:left w:val="single" w:color="000000" w:sz="6" w:space="0"/>
              <w:bottom w:val="single" w:color="000000" w:sz="4" w:space="0"/>
              <w:right w:val="single" w:color="000000" w:sz="4" w:space="0"/>
            </w:tcBorders>
            <w:tcW w:w="655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bl>
    <w:p>
      <w:pPr>
        <w:rPr>
          <w:rFonts w:ascii="宋体" w:hAnsi="宋体"/>
          <w:sz w:val="24"/>
          <w:szCs w:val="24"/>
        </w:rPr>
      </w:pPr>
      <w:r>
        <w:rPr>
          <w:rFonts w:ascii="宋体" w:hAnsi="宋体"/>
          <w:sz w:val="24"/>
          <w:szCs w:val="24"/>
        </w:rPr>
      </w:r>
      <w:r/>
    </w:p>
    <w:p>
      <w:pPr>
        <w:ind w:firstLine="420"/>
        <w:spacing w:line="360" w:lineRule="auto"/>
        <w:rPr>
          <w:rFonts w:ascii="宋体" w:hAnsi="宋体"/>
          <w:szCs w:val="21"/>
        </w:rPr>
      </w:pPr>
      <w:r>
        <w:rPr>
          <w:rFonts w:hint="eastAsia" w:ascii="宋体" w:hAnsi="宋体"/>
          <w:sz w:val="24"/>
          <w:szCs w:val="24"/>
        </w:rPr>
        <w:t xml:space="preserve">投标人公章：（电子签章）</w:t>
      </w:r>
      <w:r/>
    </w:p>
    <w:p>
      <w:pPr>
        <w:ind w:firstLine="420"/>
        <w:spacing w:line="360" w:lineRule="auto"/>
        <w:rPr>
          <w:rFonts w:ascii="宋体" w:hAnsi="宋体"/>
          <w:i/>
          <w:szCs w:val="21"/>
          <w:u w:val="single"/>
        </w:rPr>
      </w:pPr>
      <w:r>
        <w:rPr>
          <w:rFonts w:hint="eastAsia" w:ascii="宋体" w:hAnsi="宋体"/>
          <w:szCs w:val="21"/>
        </w:rPr>
        <w:t xml:space="preserve">（1）此表为表样，行数可自行添加，但表式不变。</w:t>
      </w:r>
      <w:r>
        <w:rPr>
          <w:rFonts w:hint="eastAsia" w:ascii="宋体" w:hAnsi="宋体"/>
          <w:i/>
          <w:szCs w:val="21"/>
          <w:u w:val="single"/>
        </w:rPr>
        <w:t xml:space="preserve">如投标人享有优惠政策或其他特殊情况，有些服务项目不用报价或可少报价，在备注栏或本表后附页详细说明，否则报价无效，作非实质性响应处理。</w:t>
      </w:r>
      <w:r/>
    </w:p>
    <w:p>
      <w:pPr>
        <w:ind w:firstLine="420"/>
        <w:spacing w:line="360" w:lineRule="auto"/>
        <w:rPr>
          <w:rFonts w:ascii="宋体" w:hAnsi="宋体"/>
          <w:szCs w:val="21"/>
        </w:rPr>
      </w:pPr>
      <w:r>
        <w:rPr>
          <w:rFonts w:hint="eastAsia" w:ascii="宋体" w:hAnsi="宋体"/>
          <w:szCs w:val="21"/>
        </w:rPr>
        <w:t xml:space="preserve">（2）其他项目为一至八项以外投标人为完成项目所需费用，由各投标人自行计算填列。</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pacing w:val="-2"/>
          <w:szCs w:val="21"/>
        </w:rPr>
        <w:t xml:space="preserve">本项目为专门面向中小企业采购的服务项目，服务应由中小企业承接，为本项目提供服务的所有人员为中小企业依照《中华人民共和国劳动合同法》订立劳动合同的从业人员。供应商应当按国家相关法律法规，确定服务人员工资标准、工作时间、福利待遇等。</w:t>
      </w:r>
      <w:r>
        <w:rPr>
          <w:rFonts w:hint="eastAsia" w:ascii="宋体" w:hAnsi="宋体"/>
          <w:szCs w:val="21"/>
        </w:rPr>
        <w:t xml:space="preserve">本报价必须充分考虑所有可能影响到报价的价格因素，一旦投标结束最终成交，按照实际服务期限据实结算，合同期内不予调整。</w:t>
      </w:r>
      <w:r/>
    </w:p>
    <w:p>
      <w:pPr>
        <w:pStyle w:val="741"/>
        <w:rPr>
          <w:rFonts w:ascii="宋体" w:hAnsi="宋体"/>
          <w:spacing w:val="-2"/>
          <w:szCs w:val="21"/>
        </w:rPr>
      </w:pPr>
      <w:r>
        <w:t xml:space="preserve">  </w:t>
      </w:r>
      <w:r/>
    </w:p>
    <w:p>
      <w:pPr>
        <w:jc w:val="center"/>
        <w:rPr>
          <w:rFonts w:ascii="宋体" w:hAnsi="宋体"/>
          <w:szCs w:val="21"/>
        </w:rPr>
      </w:pPr>
      <w:r>
        <w:rPr>
          <w:rFonts w:ascii="宋体" w:hAnsi="宋体"/>
          <w:szCs w:val="21"/>
        </w:rPr>
      </w:r>
      <w:r/>
    </w:p>
    <w:p>
      <w:pPr>
        <w:pStyle w:val="775"/>
      </w:pPr>
      <w:r/>
      <w:r/>
    </w:p>
    <w:p>
      <w:pPr>
        <w:pStyle w:val="775"/>
      </w:pPr>
      <w:r/>
      <w:r/>
    </w:p>
    <w:p>
      <w:pPr>
        <w:pStyle w:val="775"/>
      </w:pPr>
      <w:r/>
      <w:r/>
    </w:p>
    <w:p>
      <w:pPr>
        <w:jc w:val="center"/>
        <w:spacing w:line="360" w:lineRule="auto"/>
        <w:rPr>
          <w:rFonts w:ascii="宋体" w:hAnsi="宋体" w:cs="Arial Unicode MS"/>
          <w:b/>
          <w:bCs/>
          <w:sz w:val="22"/>
          <w:szCs w:val="24"/>
        </w:rPr>
      </w:pPr>
      <w:r>
        <w:rPr>
          <w:rFonts w:hint="eastAsia" w:ascii="宋体" w:hAnsi="宋体" w:cs="Arial Unicode MS"/>
          <w:b/>
          <w:bCs/>
          <w:sz w:val="22"/>
          <w:szCs w:val="24"/>
        </w:rPr>
        <w:t xml:space="preserve">物资及耗材明细表</w:t>
      </w:r>
      <w:r/>
    </w:p>
    <w:tbl>
      <w:tblPr>
        <w:tblStyle w:val="740"/>
        <w:tblW w:w="9936" w:type="dxa"/>
        <w:tblInd w:w="-516" w:type="dxa"/>
        <w:tblLayout w:type="fixed"/>
        <w:tblCellMar>
          <w:left w:w="108" w:type="dxa"/>
          <w:top w:w="0" w:type="dxa"/>
          <w:right w:w="108" w:type="dxa"/>
          <w:bottom w:w="0" w:type="dxa"/>
        </w:tblCellMar>
        <w:tblLook w:val="04A0" w:firstRow="1" w:lastRow="0" w:firstColumn="1" w:lastColumn="0" w:noHBand="0" w:noVBand="1"/>
      </w:tblPr>
      <w:tblGrid>
        <w:gridCol w:w="840"/>
        <w:gridCol w:w="3027"/>
        <w:gridCol w:w="1562"/>
        <w:gridCol w:w="1102"/>
        <w:gridCol w:w="1135"/>
        <w:gridCol w:w="1135"/>
        <w:gridCol w:w="1135"/>
      </w:tblGrid>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规格或型号</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年度用量</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小计（元）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不锈钢杆尘推+（尘推布）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尘推替换布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平板拖把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替换布头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棉纱线拖把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04"/>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海绵拖把头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大竹扫帚</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中扫把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芦苇扫把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铁皮簸箕</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塑料扫把+簸箕</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马桶软刷</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马桶硬刷</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钢丝清洁球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鸡毛掸</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胶手套</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皮吸</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玻璃套装工具</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涂水器</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火钳</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云石铲刀</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刀片</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灭鼠器材</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灭蚊蝇器材</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大号平口垃圾袋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大号平口垃圾袋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小号背心垃圾袋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中号背心垃圾袋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小号平口垃圾袋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小号平口垃圾袋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卫生纸</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芳香球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洁厕粉</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洁厕液</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草帽</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海绵百洁布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碧丽珠木地板护理精油</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灭鼠药剂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灭蚊蝇药剂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玻璃清洁剂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中性清洁剂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酸性清洁剂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全能水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不锈钢光亮剂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尘推牵引剂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化油剂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地毯除渍剂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高泡地毯水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防霉杀菌剂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化泡剂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603特效药剂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钢丝垫</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大理石晶面处理液</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魔术擦</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起腊水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洗石水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蚊香</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地板蜡</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尘掸</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青苔净</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方锹</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空气清新剂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警示带</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小心地滑牌</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茶叶篮</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布艺沙发清洁剂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asciiTheme="minorEastAsia" w:hAnsiTheme="minorEastAsia" w:eastAsiaTheme="minorEastAsia" w:cstheme="minorEastAsia"/>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934" w:type="dxa"/>
            <w:vAlign w:val="center"/>
            <w:textDirection w:val="lrTb"/>
            <w:noWrap/>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大写：每年人民币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元/年</w:t>
            </w:r>
            <w:r/>
          </w:p>
        </w:tc>
      </w:tr>
    </w:tbl>
    <w:p>
      <w:pPr>
        <w:spacing w:line="360" w:lineRule="auto"/>
        <w:rPr>
          <w:rFonts w:ascii="宋体" w:hAnsi="宋体"/>
          <w:spacing w:val="-2"/>
          <w:szCs w:val="21"/>
        </w:rPr>
      </w:pPr>
      <w:r>
        <w:rPr>
          <w:rFonts w:ascii="宋体" w:hAnsi="宋体"/>
          <w:spacing w:val="-2"/>
          <w:szCs w:val="21"/>
        </w:rPr>
      </w:r>
      <w:r/>
    </w:p>
    <w:p>
      <w:pPr>
        <w:spacing w:line="360" w:lineRule="auto"/>
        <w:rPr>
          <w:rFonts w:ascii="宋体" w:hAnsi="宋体"/>
          <w:spacing w:val="-2"/>
          <w:szCs w:val="21"/>
        </w:rPr>
      </w:pPr>
      <w:r>
        <w:rPr>
          <w:rFonts w:hint="eastAsia" w:ascii="宋体" w:hAnsi="宋体"/>
          <w:spacing w:val="-2"/>
          <w:szCs w:val="21"/>
        </w:rPr>
        <w:t xml:space="preserve">注：1.举例如表，仅供参考，不限于此，投标人可自行添加，但表式不变；</w:t>
      </w:r>
      <w:r/>
    </w:p>
    <w:p>
      <w:pPr>
        <w:jc w:val="left"/>
        <w:spacing w:line="360" w:lineRule="auto"/>
        <w:rPr>
          <w:rFonts w:ascii="宋体" w:hAnsi="宋体"/>
          <w:spacing w:val="-2"/>
          <w:szCs w:val="21"/>
        </w:rPr>
      </w:pPr>
      <w:r>
        <w:rPr>
          <w:rFonts w:hint="eastAsia" w:ascii="宋体" w:hAnsi="宋体"/>
          <w:spacing w:val="-2"/>
          <w:szCs w:val="21"/>
        </w:rPr>
        <w:t xml:space="preserve">    2.《物资及耗材明细表》中的合计金额应与《分项报价表》中“物资及耗材”所填金额一致。</w:t>
      </w:r>
      <w:r/>
    </w:p>
    <w:p>
      <w:pPr>
        <w:pStyle w:val="741"/>
        <w:rPr>
          <w:rFonts w:ascii="宋体" w:hAnsi="宋体"/>
          <w:spacing w:val="-2"/>
          <w:szCs w:val="21"/>
        </w:rPr>
      </w:pPr>
      <w:r>
        <w:rPr>
          <w:rFonts w:hint="eastAsia" w:ascii="宋体" w:hAnsi="宋体"/>
          <w:spacing w:val="-2"/>
          <w:szCs w:val="21"/>
        </w:rPr>
        <w:t xml:space="preserve">   </w:t>
      </w:r>
      <w:r>
        <w:rPr>
          <w:rFonts w:hint="eastAsia" w:ascii="宋体" w:hAnsi="宋体"/>
          <w:color w:val="ff0000"/>
          <w:spacing w:val="-2"/>
          <w:szCs w:val="21"/>
        </w:rPr>
        <w:t xml:space="preserve"> 3.投标人投标须提供《物资及耗材明细表》，未提供《物资及耗材明细表》做非实质性响应处理。</w:t>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75"/>
      </w:pPr>
      <w:r/>
      <w:bookmarkStart w:id="234" w:name="_Hlt26609389"/>
      <w:r/>
      <w:bookmarkEnd w:id="234"/>
      <w:r/>
      <w:bookmarkStart w:id="235" w:name="_Hlt26671374"/>
      <w:r/>
      <w:bookmarkEnd w:id="235"/>
      <w:r/>
      <w:bookmarkStart w:id="236" w:name="_Hlt26955066"/>
      <w:r/>
      <w:bookmarkEnd w:id="236"/>
      <w:r/>
      <w:bookmarkStart w:id="237" w:name="_Toc462564146"/>
      <w:r/>
      <w:bookmarkEnd w:id="237"/>
      <w:r/>
      <w:r/>
    </w:p>
    <w:p>
      <w:pPr>
        <w:jc w:val="left"/>
        <w:spacing w:before="50" w:after="50" w:line="360" w:lineRule="exact"/>
        <w:rPr>
          <w:rFonts w:ascii="黑体" w:hAnsi="黑体" w:eastAsia="黑体"/>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9：</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pStyle w:val="764"/>
        <w:jc w:val="center"/>
        <w:spacing w:beforeAutospacing="0" w:afterAutospacing="0"/>
      </w:pPr>
      <w:r>
        <w:rPr>
          <w:rFonts w:ascii="Times New Roman" w:hAnsi="Times New Roman"/>
          <w:b/>
          <w:bCs/>
          <w:szCs w:val="24"/>
        </w:rPr>
        <w:t xml:space="preserve">技术要求响应及偏离表</w:t>
      </w:r>
      <w:r/>
    </w:p>
    <w:tbl>
      <w:tblPr>
        <w:tblStyle w:val="740"/>
        <w:tblW w:w="0" w:type="auto"/>
        <w:tblCellSpacing w:w="0"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3003"/>
        <w:gridCol w:w="3121"/>
        <w:gridCol w:w="209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64"/>
              <w:jc w:val="center"/>
              <w:spacing w:beforeAutospacing="0" w:afterAutospacing="0" w:line="0" w:lineRule="atLeast"/>
            </w:pPr>
            <w:r>
              <w:rPr>
                <w:rFonts w:ascii="Times New Roman" w:hAnsi="Times New Roman"/>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64"/>
              <w:jc w:val="center"/>
              <w:spacing w:beforeAutospacing="0" w:afterAutospacing="0" w:line="0" w:lineRule="atLeast"/>
            </w:pPr>
            <w:r>
              <w:rPr>
                <w:rFonts w:ascii="Times New Roman" w:hAnsi="Times New Roman"/>
                <w:szCs w:val="24"/>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64"/>
              <w:jc w:val="center"/>
              <w:spacing w:beforeAutospacing="0" w:afterAutospacing="0" w:line="0" w:lineRule="atLeast"/>
            </w:pPr>
            <w:r>
              <w:rPr>
                <w:rFonts w:ascii="Times New Roman" w:hAnsi="Times New Roman"/>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64"/>
              <w:jc w:val="center"/>
              <w:spacing w:beforeAutospacing="0" w:afterAutospacing="0" w:line="0" w:lineRule="atLeast"/>
            </w:pPr>
            <w:r>
              <w:rPr>
                <w:rFonts w:ascii="Times New Roman" w:hAnsi="Times New Roman"/>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64"/>
              <w:jc w:val="center"/>
              <w:spacing w:beforeAutospacing="0" w:afterAutospacing="0" w:line="0" w:lineRule="atLeast"/>
            </w:pPr>
            <w:r>
              <w:rPr>
                <w:rFonts w:ascii="Times New Roman" w:hAnsi="Times New Roman"/>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6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6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64"/>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6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64"/>
              <w:jc w:val="center"/>
              <w:spacing w:beforeAutospacing="0" w:afterAutospacing="0" w:line="0" w:lineRule="atLeast"/>
            </w:pPr>
            <w:r>
              <w:rPr>
                <w:rFonts w:ascii="Times New Roman" w:hAnsi="Times New Roman"/>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6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64"/>
              <w:jc w:val="center"/>
              <w:spacing w:beforeAutospacing="0" w:afterAutospacing="0" w:line="0" w:lineRule="atLeast"/>
            </w:pPr>
            <w:r>
              <w:t xml:space="preserve"> </w:t>
            </w:r>
            <w:r/>
          </w:p>
        </w:tc>
      </w:tr>
    </w:tbl>
    <w:p>
      <w:pPr>
        <w:pStyle w:val="764"/>
        <w:jc w:val="both"/>
        <w:spacing w:beforeAutospacing="0" w:line="240" w:lineRule="atLeast"/>
      </w:pPr>
      <w:r>
        <w:rPr>
          <w:rFonts w:hint="eastAsia" w:ascii="Times New Roman" w:hAnsi="Times New Roman"/>
          <w:szCs w:val="24"/>
        </w:rPr>
        <w:t xml:space="preserve">附件</w:t>
      </w:r>
      <w:r>
        <w:rPr>
          <w:rFonts w:ascii="Times New Roman" w:hAnsi="Times New Roman"/>
          <w:szCs w:val="24"/>
        </w:rPr>
        <w:t xml:space="preserve"> </w:t>
      </w:r>
      <w:r>
        <w:rPr>
          <w:rFonts w:hint="eastAsia" w:ascii="Times New Roman" w:hAnsi="Times New Roman"/>
          <w:szCs w:val="24"/>
        </w:rPr>
        <w:t xml:space="preserve">证明材料</w:t>
      </w:r>
      <w:r>
        <w:rPr>
          <w:rFonts w:ascii="Times New Roman" w:hAnsi="Times New Roman"/>
          <w:szCs w:val="24"/>
        </w:rPr>
        <w:t xml:space="preserve">1</w:t>
      </w:r>
      <w:r>
        <w:rPr>
          <w:rFonts w:hint="eastAsia" w:ascii="Times New Roman" w:hAnsi="Times New Roman"/>
          <w:szCs w:val="24"/>
        </w:rPr>
        <w:t xml:space="preserve">，证明材料</w:t>
      </w:r>
      <w:r>
        <w:rPr>
          <w:rFonts w:ascii="Times New Roman" w:hAnsi="Times New Roman"/>
          <w:szCs w:val="24"/>
        </w:rPr>
        <w:t xml:space="preserve">2</w:t>
      </w:r>
      <w:r>
        <w:rPr>
          <w:rFonts w:hint="eastAsia" w:ascii="Times New Roman" w:hAnsi="Times New Roman"/>
          <w:szCs w:val="24"/>
        </w:rPr>
        <w:t xml:space="preserve">，</w:t>
      </w:r>
      <w:r>
        <w:rPr>
          <w:rFonts w:ascii="Times New Roman" w:hAnsi="Times New Roman"/>
          <w:szCs w:val="24"/>
        </w:rPr>
        <w:t xml:space="preserve">……</w:t>
      </w:r>
      <w:r/>
    </w:p>
    <w:p>
      <w:pPr>
        <w:pStyle w:val="764"/>
        <w:jc w:val="both"/>
        <w:spacing w:beforeAutospacing="0" w:afterAutospacing="0" w:line="240" w:lineRule="atLeast"/>
      </w:pPr>
      <w:r>
        <w:rPr>
          <w:rFonts w:hint="eastAsia" w:ascii="Times New Roman" w:hAnsi="Times New Roman"/>
          <w:szCs w:val="24"/>
        </w:rPr>
        <w:t xml:space="preserve">备注：</w:t>
      </w:r>
      <w:r/>
    </w:p>
    <w:p>
      <w:pPr>
        <w:pStyle w:val="764"/>
        <w:jc w:val="both"/>
        <w:spacing w:beforeAutospacing="0" w:afterAutospacing="0"/>
        <w:rPr>
          <w:color w:val="ff0000"/>
        </w:rPr>
      </w:pPr>
      <w:r>
        <w:rPr>
          <w:rFonts w:ascii="Times New Roman" w:hAnsi="Times New Roman"/>
          <w:color w:val="ff0000"/>
          <w:szCs w:val="24"/>
        </w:rPr>
        <w:t xml:space="preserve">1. </w:t>
      </w:r>
      <w:r>
        <w:rPr>
          <w:rFonts w:hint="eastAsia" w:ascii="Times New Roman" w:hAnsi="Times New Roman"/>
          <w:color w:val="ff0000"/>
          <w:szCs w:val="24"/>
        </w:rPr>
        <w:t xml:space="preserve">投标人需对采购需求</w:t>
      </w:r>
      <w:bookmarkStart w:id="238" w:name="OLE_LINK36"/>
      <w:r>
        <w:rPr>
          <w:rFonts w:hint="eastAsia" w:ascii="Times New Roman" w:hAnsi="Times New Roman"/>
          <w:color w:val="ff0000"/>
          <w:szCs w:val="24"/>
        </w:rPr>
        <w:t xml:space="preserve">斜体</w:t>
      </w:r>
      <w:bookmarkEnd w:id="238"/>
      <w:r>
        <w:rPr>
          <w:rFonts w:hint="eastAsia" w:ascii="Times New Roman" w:hAnsi="Times New Roman"/>
          <w:color w:val="ff0000"/>
          <w:szCs w:val="24"/>
        </w:rPr>
        <w:t xml:space="preserve">条款（商务要求列于商务要求响应及偏离表）做出明确响应，不可</w:t>
      </w:r>
      <w:bookmarkStart w:id="239" w:name="OLE_LINK35"/>
      <w:r>
        <w:rPr>
          <w:rFonts w:hint="eastAsia" w:ascii="Times New Roman" w:hAnsi="Times New Roman"/>
          <w:color w:val="ff0000"/>
          <w:szCs w:val="24"/>
        </w:rPr>
        <w:t xml:space="preserve">简</w:t>
      </w:r>
      <w:bookmarkStart w:id="240" w:name="OLE_LINK34"/>
      <w:r>
        <w:rPr>
          <w:rFonts w:hint="eastAsia" w:ascii="Times New Roman" w:hAnsi="Times New Roman"/>
          <w:color w:val="ff0000"/>
          <w:szCs w:val="24"/>
        </w:rPr>
        <w:t xml:space="preserve">写</w:t>
      </w:r>
      <w:bookmarkEnd w:id="239"/>
      <w:r/>
      <w:bookmarkEnd w:id="240"/>
      <w:r>
        <w:rPr>
          <w:rFonts w:hint="eastAsia" w:ascii="Times New Roman" w:hAnsi="Times New Roman"/>
          <w:color w:val="ff0000"/>
          <w:szCs w:val="24"/>
        </w:rPr>
        <w:t xml:space="preserve">（只写标题等）、漏写、改写，不允许负偏离，否则做非实质性响应处理。</w:t>
      </w:r>
      <w:r/>
    </w:p>
    <w:p>
      <w:pPr>
        <w:pStyle w:val="764"/>
        <w:jc w:val="both"/>
        <w:spacing w:beforeAutospacing="0" w:afterAutospacing="0"/>
        <w:rPr>
          <w:rFonts w:ascii="Times New Roman" w:hAnsi="Times New Roman"/>
          <w:szCs w:val="24"/>
        </w:rPr>
      </w:pPr>
      <w:r>
        <w:rPr>
          <w:rFonts w:ascii="Times New Roman" w:hAnsi="Times New Roman"/>
          <w:szCs w:val="24"/>
        </w:rPr>
        <w:t xml:space="preserve">2.</w:t>
      </w:r>
      <w:r>
        <w:rPr>
          <w:rFonts w:hint="eastAsia" w:ascii="Times New Roman" w:hAnsi="Times New Roman"/>
          <w:szCs w:val="24"/>
        </w:rPr>
        <w:t xml:space="preserve">如果招标文件要求提供证明材料，投标人需将证明材料列于该表之下。</w:t>
      </w:r>
      <w:r/>
    </w:p>
    <w:p>
      <w:pPr>
        <w:spacing w:line="240" w:lineRule="atLeast"/>
        <w:rPr>
          <w:rFonts w:ascii="宋体" w:hAnsi="宋体"/>
          <w:sz w:val="24"/>
          <w:szCs w:val="24"/>
        </w:rPr>
      </w:pPr>
      <w:r>
        <w:t xml:space="preserve">3.</w:t>
      </w:r>
      <w:r>
        <w:rPr>
          <w:rFonts w:hint="eastAsia" w:ascii="宋体" w:hAnsi="宋体"/>
          <w:sz w:val="24"/>
          <w:szCs w:val="24"/>
        </w:rPr>
        <w:t xml:space="preserve">项目举例如表，仅供参考，不限于此，投标人可自行添加或删除，但表式不变。</w:t>
      </w:r>
      <w:r/>
    </w:p>
    <w:p>
      <w:pPr>
        <w:spacing w:line="240" w:lineRule="atLeast"/>
        <w:rPr>
          <w:rFonts w:ascii="宋体" w:hAnsi="宋体" w:cs="仿宋"/>
          <w:iCs/>
          <w:sz w:val="22"/>
          <w:lang w:val="zh-CN"/>
        </w:rPr>
      </w:pPr>
      <w:r>
        <w:rPr>
          <w:rFonts w:hint="eastAsia" w:ascii="宋体" w:hAnsi="宋体"/>
          <w:sz w:val="24"/>
          <w:szCs w:val="24"/>
        </w:rPr>
        <w:t xml:space="preserve">4．</w:t>
      </w:r>
      <w:r>
        <w:rPr>
          <w:rFonts w:hint="eastAsia" w:ascii="宋体" w:hAnsi="宋体" w:cs="仿宋"/>
          <w:iCs/>
          <w:sz w:val="22"/>
          <w:lang w:val="zh-CN"/>
        </w:rPr>
        <w:t xml:space="preserve">相关承诺函列于该表之下。</w:t>
      </w:r>
      <w:r/>
    </w:p>
    <w:p>
      <w:pPr>
        <w:pStyle w:val="741"/>
        <w:spacing w:line="240" w:lineRule="atLeas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．本表列于</w:t>
      </w:r>
      <w:bookmarkStart w:id="241" w:name="OLE_LINK23"/>
      <w:r/>
      <w:bookmarkStart w:id="242" w:name="OLE_LINK24"/>
      <w:r>
        <w:rPr>
          <w:rFonts w:hint="eastAsia" w:ascii="Times New Roman" w:hAnsi="Times New Roman"/>
          <w:sz w:val="24"/>
          <w:szCs w:val="24"/>
        </w:rPr>
        <w:t xml:space="preserve">电子投标（响应）文件</w:t>
      </w:r>
      <w:bookmarkEnd w:id="241"/>
      <w:r/>
      <w:bookmarkEnd w:id="242"/>
      <w:r>
        <w:rPr>
          <w:rFonts w:hint="eastAsia" w:ascii="Times New Roman" w:hAnsi="Times New Roman"/>
          <w:sz w:val="24"/>
          <w:szCs w:val="24"/>
        </w:rPr>
        <w:t xml:space="preserve">符合条件技术部分</w:t>
      </w:r>
      <w:r/>
    </w:p>
    <w:p>
      <w:pPr>
        <w:pStyle w:val="764"/>
        <w:jc w:val="both"/>
        <w:spacing w:beforeAutospacing="0" w:afterAutospacing="0" w:line="0" w:lineRule="atLeast"/>
      </w:pPr>
      <w:r>
        <w:t xml:space="preserve"> </w:t>
      </w:r>
      <w:r/>
    </w:p>
    <w:p>
      <w:pPr>
        <w:pStyle w:val="764"/>
        <w:jc w:val="both"/>
        <w:spacing w:beforeAutospacing="0" w:afterAutospacing="0" w:line="0" w:lineRule="atLeast"/>
      </w:pPr>
      <w:r/>
      <w:r/>
    </w:p>
    <w:p>
      <w:pPr>
        <w:pStyle w:val="764"/>
        <w:jc w:val="both"/>
        <w:spacing w:beforeAutospacing="0" w:afterAutospacing="0" w:line="0" w:lineRule="atLeast"/>
      </w:pPr>
      <w:r/>
      <w:r/>
    </w:p>
    <w:p>
      <w:pPr>
        <w:pStyle w:val="764"/>
        <w:jc w:val="both"/>
        <w:spacing w:beforeAutospacing="0" w:afterAutospacing="0" w:line="0" w:lineRule="atLeast"/>
      </w:pPr>
      <w:r/>
      <w:r/>
    </w:p>
    <w:p>
      <w:pPr>
        <w:pStyle w:val="764"/>
        <w:jc w:val="center"/>
        <w:spacing w:beforeAutospacing="0" w:afterAutospacing="0"/>
      </w:pPr>
      <w:r>
        <w:rPr>
          <w:rFonts w:ascii="Times New Roman" w:hAnsi="Times New Roman"/>
          <w:b/>
          <w:bCs/>
          <w:szCs w:val="24"/>
        </w:rPr>
        <w:t xml:space="preserve">商务要求响应及偏离表</w:t>
      </w:r>
      <w:r/>
    </w:p>
    <w:tbl>
      <w:tblPr>
        <w:tblStyle w:val="74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2923"/>
        <w:gridCol w:w="3030"/>
        <w:gridCol w:w="204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64"/>
              <w:jc w:val="center"/>
              <w:spacing w:beforeAutospacing="0" w:afterAutospacing="0" w:line="0" w:lineRule="atLeast"/>
            </w:pPr>
            <w:r>
              <w:rPr>
                <w:rFonts w:hint="eastAsia" w:ascii="宋体" w:hAnsi="宋体" w:cs="宋体"/>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64"/>
              <w:jc w:val="center"/>
              <w:spacing w:beforeAutospacing="0" w:afterAutospacing="0" w:line="0" w:lineRule="atLeast"/>
            </w:pPr>
            <w:r>
              <w:rPr>
                <w:rFonts w:hint="eastAsia" w:ascii="宋体" w:hAnsi="宋体" w:cs="宋体"/>
                <w:szCs w:val="24"/>
              </w:rPr>
              <w:t xml:space="preserve">商务要求</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64"/>
              <w:jc w:val="center"/>
              <w:spacing w:beforeAutospacing="0" w:afterAutospacing="0" w:line="0" w:lineRule="atLeast"/>
            </w:pPr>
            <w:r>
              <w:rPr>
                <w:rFonts w:hint="eastAsia" w:ascii="宋体" w:hAnsi="宋体" w:cs="宋体"/>
                <w:szCs w:val="24"/>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64"/>
              <w:jc w:val="center"/>
              <w:spacing w:beforeAutospacing="0" w:afterAutospacing="0" w:line="0" w:lineRule="atLeast"/>
            </w:pPr>
            <w:r>
              <w:rPr>
                <w:rFonts w:hint="eastAsia" w:ascii="宋体" w:hAnsi="宋体" w:cs="宋体"/>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64"/>
              <w:jc w:val="center"/>
              <w:spacing w:beforeAutospacing="0" w:afterAutospacing="0" w:line="0" w:lineRule="atLeast"/>
            </w:pPr>
            <w:r>
              <w:rPr>
                <w:rFonts w:hint="eastAsia" w:ascii="宋体" w:hAnsi="宋体" w:cs="宋体"/>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6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6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64"/>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6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64"/>
              <w:jc w:val="center"/>
              <w:spacing w:beforeAutospacing="0" w:afterAutospacing="0" w:line="0" w:lineRule="atLeast"/>
            </w:pPr>
            <w:r>
              <w:rPr>
                <w:rFonts w:hint="eastAsia" w:ascii="宋体" w:hAnsi="宋体" w:cs="宋体"/>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6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64"/>
              <w:jc w:val="center"/>
              <w:spacing w:beforeAutospacing="0" w:afterAutospacing="0" w:line="0" w:lineRule="atLeast"/>
            </w:pPr>
            <w:r>
              <w:t xml:space="preserve"> </w:t>
            </w:r>
            <w:r/>
          </w:p>
        </w:tc>
      </w:tr>
    </w:tbl>
    <w:p>
      <w:pPr>
        <w:pStyle w:val="764"/>
        <w:jc w:val="both"/>
        <w:spacing w:beforeAutospacing="0" w:afterAutospacing="0" w:line="0" w:lineRule="atLeast"/>
      </w:pPr>
      <w:r>
        <w:rPr>
          <w:rFonts w:ascii="Times New Roman" w:hAnsi="Times New Roman"/>
          <w:szCs w:val="24"/>
        </w:rPr>
        <w:t xml:space="preserve">附件</w:t>
      </w:r>
      <w:r>
        <w:rPr>
          <w:rFonts w:hint="eastAsia" w:ascii="Times New Roman" w:hAnsi="Times New Roman"/>
          <w:szCs w:val="24"/>
        </w:rPr>
        <w:t xml:space="preserve"> </w:t>
      </w:r>
      <w:r>
        <w:rPr>
          <w:rFonts w:ascii="Times New Roman" w:hAnsi="Times New Roman"/>
          <w:szCs w:val="24"/>
        </w:rPr>
        <w:t xml:space="preserve">证明材料1，证明材料2，……</w:t>
      </w:r>
      <w:r/>
    </w:p>
    <w:p>
      <w:pPr>
        <w:pStyle w:val="764"/>
        <w:jc w:val="both"/>
        <w:spacing w:beforeAutospacing="0" w:afterAutospacing="0" w:line="0" w:lineRule="atLeast"/>
      </w:pPr>
      <w:r>
        <w:t xml:space="preserve"> </w:t>
      </w:r>
      <w:r/>
    </w:p>
    <w:p>
      <w:pPr>
        <w:pStyle w:val="764"/>
        <w:jc w:val="both"/>
        <w:spacing w:beforeAutospacing="0" w:afterAutospacing="0" w:line="0" w:lineRule="atLeast"/>
      </w:pPr>
      <w:r>
        <w:rPr>
          <w:rFonts w:ascii="Times New Roman" w:hAnsi="Times New Roman"/>
          <w:szCs w:val="24"/>
        </w:rPr>
        <w:t xml:space="preserve">备注：</w:t>
      </w:r>
      <w:r/>
    </w:p>
    <w:p>
      <w:pPr>
        <w:pStyle w:val="764"/>
        <w:jc w:val="both"/>
        <w:spacing w:beforeAutospacing="0" w:afterAutospacing="0" w:line="0" w:lineRule="atLeast"/>
        <w:rPr>
          <w:color w:val="ff0000"/>
        </w:rPr>
      </w:pPr>
      <w:r>
        <w:rPr>
          <w:rFonts w:ascii="Times New Roman" w:hAnsi="Times New Roman"/>
          <w:color w:val="ff0000"/>
          <w:szCs w:val="24"/>
        </w:rPr>
        <w:t xml:space="preserve">1.投标人需对第四章项目需求</w:t>
      </w:r>
      <w:r>
        <w:rPr>
          <w:rFonts w:hint="eastAsia" w:ascii="Times New Roman" w:hAnsi="Times New Roman"/>
          <w:color w:val="ff0000"/>
          <w:szCs w:val="24"/>
        </w:rPr>
        <w:t xml:space="preserve">6商务要求斜体条款</w:t>
      </w:r>
      <w:r>
        <w:rPr>
          <w:rFonts w:ascii="Times New Roman" w:hAnsi="Times New Roman"/>
          <w:color w:val="ff0000"/>
          <w:szCs w:val="24"/>
        </w:rPr>
        <w:t xml:space="preserve">做出明确响应，</w:t>
      </w:r>
      <w:r>
        <w:rPr>
          <w:rFonts w:hint="eastAsia" w:ascii="Times New Roman" w:hAnsi="Times New Roman"/>
          <w:color w:val="ff0000"/>
          <w:szCs w:val="24"/>
        </w:rPr>
        <w:t xml:space="preserve">不可简写（只写标题等）、漏写、改写，不允许负偏离，</w:t>
      </w:r>
      <w:r>
        <w:rPr>
          <w:rFonts w:ascii="Times New Roman" w:hAnsi="Times New Roman"/>
          <w:color w:val="ff0000"/>
          <w:szCs w:val="24"/>
        </w:rPr>
        <w:t xml:space="preserve">否则</w:t>
      </w:r>
      <w:r>
        <w:rPr>
          <w:rFonts w:hint="eastAsia" w:ascii="Times New Roman" w:hAnsi="Times New Roman"/>
          <w:color w:val="ff0000"/>
          <w:szCs w:val="24"/>
        </w:rPr>
        <w:t xml:space="preserve">做非实质性响应处理</w:t>
      </w:r>
      <w:r>
        <w:rPr>
          <w:rFonts w:ascii="Times New Roman" w:hAnsi="Times New Roman"/>
          <w:color w:val="ff0000"/>
          <w:szCs w:val="24"/>
        </w:rPr>
        <w:t xml:space="preserve">。</w:t>
      </w:r>
      <w:r/>
    </w:p>
    <w:p>
      <w:pPr>
        <w:pStyle w:val="764"/>
        <w:jc w:val="both"/>
        <w:spacing w:beforeAutospacing="0" w:afterAutospacing="0" w:line="0" w:lineRule="atLeast"/>
        <w:rPr>
          <w:rFonts w:ascii="Times New Roman" w:hAnsi="Times New Roman"/>
        </w:rPr>
      </w:pPr>
      <w:r>
        <w:rPr>
          <w:rFonts w:ascii="Times New Roman" w:hAnsi="Times New Roman"/>
          <w:szCs w:val="24"/>
        </w:rPr>
        <w:t xml:space="preserve">2.如果招标文件要求提供</w:t>
      </w:r>
      <w:r>
        <w:rPr>
          <w:rFonts w:hint="eastAsia" w:ascii="Times New Roman" w:hAnsi="Times New Roman"/>
          <w:szCs w:val="24"/>
        </w:rPr>
        <w:t xml:space="preserve">方案、证明材料</w:t>
      </w:r>
      <w:r>
        <w:rPr>
          <w:rFonts w:ascii="Times New Roman" w:hAnsi="Times New Roman"/>
          <w:szCs w:val="24"/>
        </w:rPr>
        <w:t xml:space="preserve">，投标人需将证明材料列于该表之下。</w:t>
      </w:r>
      <w:r/>
    </w:p>
    <w:p>
      <w:pPr>
        <w:spacing w:line="360" w:lineRule="exact"/>
        <w:rPr>
          <w:rFonts w:ascii="宋体" w:hAnsi="宋体"/>
          <w:sz w:val="24"/>
          <w:szCs w:val="24"/>
        </w:rPr>
      </w:pPr>
      <w:r>
        <w:rPr>
          <w:rFonts w:hint="eastAsia"/>
        </w:rPr>
        <w:t xml:space="preserve">3.</w:t>
      </w:r>
      <w:r>
        <w:rPr>
          <w:rFonts w:hint="eastAsia" w:ascii="宋体" w:hAnsi="宋体"/>
          <w:sz w:val="24"/>
          <w:szCs w:val="24"/>
        </w:rPr>
        <w:t xml:space="preserve">项目举例如表，仅供参考，不限于此，投标人可自行添加或删除，但表式不变。</w:t>
      </w:r>
      <w:r/>
    </w:p>
    <w:p>
      <w:pPr>
        <w:pStyle w:val="741"/>
        <w:spacing w:line="240" w:lineRule="atLeast"/>
        <w:rPr>
          <w:rFonts w:ascii="Times New Roman" w:hAnsi="Times New Roman"/>
          <w:sz w:val="24"/>
          <w:szCs w:val="24"/>
        </w:rPr>
      </w:pPr>
      <w:r/>
      <w:bookmarkStart w:id="243" w:name="_格式2__法定代表人授权书"/>
      <w:r/>
      <w:bookmarkEnd w:id="243"/>
      <w:r>
        <w:rPr>
          <w:rFonts w:hint="eastAsia" w:ascii="Times New Roman" w:hAnsi="Times New Roman"/>
          <w:sz w:val="24"/>
          <w:szCs w:val="24"/>
        </w:rPr>
        <w:t xml:space="preserve">4．本表列于电子投标（响应）文件符合条件商务部分</w:t>
      </w:r>
      <w:r/>
    </w:p>
    <w:p>
      <w:pPr>
        <w:pStyle w:val="741"/>
        <w:spacing w:line="240" w:lineRule="atLeast"/>
        <w:rPr>
          <w:rFonts w:ascii="Times New Roman" w:hAnsi="Times New Roman"/>
          <w:sz w:val="24"/>
          <w:szCs w:val="24"/>
        </w:rPr>
      </w:pPr>
      <w:r>
        <w:rPr>
          <w:rFonts w:hint="eastAsia" w:ascii="Times New Roman" w:hAnsi="Times New Roman"/>
          <w:sz w:val="24"/>
          <w:szCs w:val="24"/>
        </w:rPr>
        <w:t xml:space="preserve">5．相关承诺函列于该表之下。</w:t>
      </w:r>
      <w:r/>
    </w:p>
    <w:p>
      <w:pPr>
        <w:pStyle w:val="775"/>
      </w:p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t xml:space="preserve">附件1</w:t>
      </w:r>
      <w:r>
        <w:rPr>
          <w:rFonts w:hint="eastAsia" w:ascii="黑体" w:hAnsi="黑体" w:eastAsia="黑体"/>
          <w:sz w:val="32"/>
          <w:szCs w:val="32"/>
        </w:rPr>
        <w:t xml:space="preserve">0：</w:t>
      </w:r>
      <w:r/>
    </w:p>
    <w:p>
      <w:pPr>
        <w:pStyle w:val="775"/>
      </w:pPr>
      <w:r/>
      <w:r/>
    </w:p>
    <w:p>
      <w:pPr>
        <w:pStyle w:val="775"/>
        <w:ind w:firstLine="0"/>
        <w:jc w:val="center"/>
        <w:rPr>
          <w:rFonts w:ascii="黑体" w:hAnsi="黑体" w:eastAsia="黑体"/>
          <w:sz w:val="32"/>
          <w:szCs w:val="32"/>
        </w:rPr>
      </w:pPr>
      <w:r>
        <w:rPr>
          <w:rFonts w:hint="eastAsia" w:ascii="黑体" w:hAnsi="黑体" w:eastAsia="黑体"/>
          <w:sz w:val="32"/>
          <w:szCs w:val="32"/>
        </w:rPr>
        <w:t xml:space="preserve">项目管理一览表</w:t>
      </w:r>
      <w:r/>
    </w:p>
    <w:p>
      <w:pPr>
        <w:spacing w:line="360" w:lineRule="exact"/>
        <w:rPr>
          <w:rFonts w:ascii="宋体" w:hAnsi="Times New Roman"/>
          <w:sz w:val="24"/>
          <w:szCs w:val="24"/>
        </w:rPr>
      </w:pPr>
      <w:r>
        <w:rPr>
          <w:rFonts w:hint="eastAsia" w:ascii="宋体" w:hAnsi="Times New Roman"/>
          <w:sz w:val="24"/>
          <w:szCs w:val="24"/>
        </w:rPr>
        <w:t xml:space="preserve">表一：企业基本状况一览表</w:t>
      </w:r>
      <w:r/>
    </w:p>
    <w:p>
      <w:pPr>
        <w:spacing w:line="360" w:lineRule="exact"/>
        <w:rPr>
          <w:rFonts w:ascii="宋体" w:hAnsi="Times New Roman"/>
          <w:sz w:val="24"/>
          <w:szCs w:val="24"/>
        </w:rPr>
      </w:pPr>
      <w:r>
        <w:rPr>
          <w:rFonts w:ascii="宋体" w:hAnsi="Times New Roman"/>
          <w:sz w:val="24"/>
          <w:szCs w:val="24"/>
        </w:rPr>
      </w:r>
      <w:r/>
    </w:p>
    <w:tbl>
      <w:tblPr>
        <w:tblStyle w:val="740"/>
        <w:tblpPr w:horzAnchor="text" w:tblpXSpec="left" w:vertAnchor="text" w:tblpY="1" w:leftFromText="180" w:topFromText="0" w:rightFromText="180" w:bottomFromText="0"/>
        <w:tblW w:w="8685" w:type="dxa"/>
        <w:tblInd w:w="0" w:type="dxa"/>
        <w:tblLayout w:type="fixed"/>
        <w:tblCellMar>
          <w:left w:w="108" w:type="dxa"/>
          <w:top w:w="0" w:type="dxa"/>
          <w:right w:w="108" w:type="dxa"/>
          <w:bottom w:w="0" w:type="dxa"/>
        </w:tblCellMar>
        <w:tblLook w:val="04A0" w:firstRow="1" w:lastRow="0" w:firstColumn="1" w:lastColumn="0" w:noHBand="0" w:noVBand="1"/>
      </w:tblPr>
      <w:tblGrid>
        <w:gridCol w:w="1678"/>
        <w:gridCol w:w="855"/>
        <w:gridCol w:w="856"/>
        <w:gridCol w:w="1569"/>
        <w:gridCol w:w="1711"/>
        <w:gridCol w:w="2016"/>
      </w:tblGrid>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企业名称</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法定代表人</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注册地址</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邮政编码</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成立时间</w:t>
            </w:r>
            <w:r/>
          </w:p>
        </w:tc>
        <w:tc>
          <w:tcPr>
            <w:tcBorders>
              <w:top w:val="single" w:color="auto" w:sz="6" w:space="0"/>
              <w:left w:val="single" w:color="auto" w:sz="6" w:space="0"/>
              <w:bottom w:val="single" w:color="auto" w:sz="6" w:space="0"/>
              <w:right w:val="single" w:color="auto" w:sz="6" w:space="0"/>
            </w:tcBorders>
            <w:tcW w:w="85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spacing w:line="360" w:lineRule="exact"/>
              <w:rPr>
                <w:rFonts w:ascii="宋体"/>
                <w:lang w:val="zh-CN"/>
              </w:rPr>
            </w:pPr>
            <w:r>
              <w:rPr>
                <w:rFonts w:hint="eastAsia" w:ascii="宋体"/>
                <w:lang w:val="zh-CN"/>
              </w:rPr>
              <w:t xml:space="preserve">电话</w:t>
            </w:r>
            <w:r/>
          </w:p>
        </w:tc>
        <w:tc>
          <w:tcPr>
            <w:tcBorders>
              <w:top w:val="single" w:color="auto" w:sz="6" w:space="0"/>
              <w:left w:val="single" w:color="auto" w:sz="6" w:space="0"/>
              <w:bottom w:val="single" w:color="auto" w:sz="6" w:space="0"/>
              <w:right w:val="single" w:color="auto" w:sz="6" w:space="0"/>
            </w:tcBorders>
            <w:tcW w:w="156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传  真</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企业资质</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营业执照</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服务经历</w:t>
            </w:r>
            <w:r/>
          </w:p>
        </w:tc>
        <w:tc>
          <w:tcPr>
            <w:gridSpan w:val="5"/>
            <w:tcBorders>
              <w:top w:val="single" w:color="auto" w:sz="6" w:space="0"/>
              <w:left w:val="single" w:color="auto" w:sz="6" w:space="0"/>
              <w:bottom w:val="single" w:color="auto" w:sz="6" w:space="0"/>
              <w:right w:val="single" w:color="auto" w:sz="6" w:space="0"/>
            </w:tcBorders>
            <w:tcW w:w="7007" w:type="dxa"/>
            <w:vAlign w:val="center"/>
            <w:textDirection w:val="lrTb"/>
            <w:noWrap w:val="false"/>
          </w:tcPr>
          <w:p>
            <w:pPr>
              <w:spacing w:line="360" w:lineRule="exact"/>
              <w:rPr>
                <w:rFonts w:ascii="宋体"/>
                <w:lang w:val="zh-CN"/>
              </w:rPr>
            </w:pPr>
            <w:r>
              <w:rPr>
                <w:rFonts w:hint="eastAsia" w:ascii="宋体"/>
                <w:lang w:val="zh-CN"/>
              </w:rPr>
              <w:t xml:space="preserve">          年(国内)                          年(国际)</w:t>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职工人员</w:t>
            </w:r>
            <w:r/>
          </w:p>
        </w:tc>
        <w:tc>
          <w:tcPr>
            <w:gridSpan w:val="5"/>
            <w:tcBorders>
              <w:top w:val="single" w:color="auto" w:sz="6" w:space="0"/>
              <w:left w:val="single" w:color="auto" w:sz="6" w:space="0"/>
              <w:bottom w:val="single" w:color="auto" w:sz="6" w:space="0"/>
              <w:right w:val="single" w:color="auto" w:sz="6" w:space="0"/>
            </w:tcBorders>
            <w:tcW w:w="7007" w:type="dxa"/>
            <w:vAlign w:val="center"/>
            <w:textDirection w:val="lrTb"/>
            <w:noWrap w:val="false"/>
          </w:tcPr>
          <w:p>
            <w:pPr>
              <w:spacing w:line="360" w:lineRule="exact"/>
              <w:rPr>
                <w:rFonts w:ascii="宋体"/>
                <w:lang w:val="zh-CN"/>
              </w:rPr>
            </w:pPr>
            <w:r>
              <w:rPr>
                <w:rFonts w:hint="eastAsia" w:ascii="宋体"/>
                <w:lang w:val="zh-CN"/>
              </w:rPr>
              <w:t xml:space="preserve">总人数：              管理人员：</w:t>
            </w:r>
            <w:r/>
          </w:p>
        </w:tc>
      </w:tr>
      <w:tr>
        <w:trPr>
          <w:trHeight w:val="6934"/>
        </w:trPr>
        <w:tc>
          <w:tcPr>
            <w:gridSpan w:val="6"/>
            <w:tcBorders>
              <w:top w:val="single" w:color="auto" w:sz="6" w:space="0"/>
              <w:left w:val="single" w:color="auto" w:sz="6" w:space="0"/>
              <w:bottom w:val="single" w:color="auto" w:sz="4" w:space="0"/>
              <w:right w:val="single" w:color="auto" w:sz="6" w:space="0"/>
            </w:tcBorders>
            <w:tcW w:w="8685" w:type="dxa"/>
            <w:textDirection w:val="lrTb"/>
            <w:noWrap w:val="false"/>
          </w:tcPr>
          <w:p>
            <w:pPr>
              <w:spacing w:line="360" w:lineRule="exact"/>
              <w:rPr>
                <w:rFonts w:ascii="宋体"/>
                <w:lang w:val="zh-CN"/>
              </w:rPr>
            </w:pPr>
            <w:r>
              <w:rPr>
                <w:rFonts w:hint="eastAsia" w:ascii="宋体"/>
                <w:lang w:val="zh-CN"/>
              </w:rPr>
              <w:t xml:space="preserve">组织机构框图</w:t>
            </w:r>
            <w:r/>
          </w:p>
          <w:p>
            <w:pPr>
              <w:spacing w:line="360" w:lineRule="exact"/>
              <w:rPr>
                <w:rFonts w:ascii="宋体"/>
                <w:lang w:val="zh-CN"/>
              </w:rPr>
            </w:pPr>
            <w:r>
              <w:rPr>
                <w:rFonts w:hint="eastAsia" w:ascii="宋体"/>
                <w:lang w:val="zh-CN"/>
              </w:rPr>
              <w:t xml:space="preserve">（包括组织结构、领导成员、主要管理人员及数量等情况）</w:t>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tc>
      </w:tr>
    </w:tbl>
    <w:p>
      <w:pPr>
        <w:spacing w:line="360" w:lineRule="exact"/>
        <w:rPr>
          <w:rFonts w:ascii="宋体" w:hAnsi="Times New Roman"/>
          <w:szCs w:val="21"/>
        </w:rPr>
      </w:pPr>
      <w:r>
        <w:rPr>
          <w:rFonts w:ascii="宋体" w:hAnsi="Times New Roman"/>
          <w:szCs w:val="21"/>
        </w:rPr>
      </w:r>
      <w:r/>
    </w:p>
    <w:p>
      <w:pPr>
        <w:pStyle w:val="775"/>
        <w:rPr>
          <w:lang w:val="zh-CN"/>
        </w:rPr>
      </w:pPr>
      <w:r>
        <w:rPr>
          <w:lang w:val="zh-CN"/>
        </w:rPr>
      </w:r>
      <w:r/>
    </w:p>
    <w:p>
      <w:pPr>
        <w:rPr>
          <w:rFonts w:ascii="宋体" w:hAnsi="Times New Roman"/>
          <w:sz w:val="24"/>
          <w:szCs w:val="24"/>
        </w:rPr>
      </w:pPr>
      <w:r>
        <w:rPr>
          <w:rFonts w:hint="eastAsia" w:ascii="宋体" w:hAnsi="Times New Roman"/>
          <w:sz w:val="24"/>
          <w:szCs w:val="24"/>
        </w:rPr>
        <w:br w:type="page" w:clear="all"/>
      </w:r>
      <w:r/>
    </w:p>
    <w:p>
      <w:pPr>
        <w:spacing w:line="360" w:lineRule="exact"/>
        <w:rPr>
          <w:rFonts w:ascii="宋体" w:hAnsi="Times New Roman"/>
          <w:sz w:val="24"/>
          <w:szCs w:val="24"/>
        </w:rPr>
      </w:pPr>
      <w:r>
        <w:rPr>
          <w:rFonts w:hint="eastAsia" w:ascii="宋体" w:hAnsi="Times New Roman"/>
          <w:sz w:val="24"/>
          <w:szCs w:val="24"/>
        </w:rPr>
        <w:t xml:space="preserve">表二：投标人承接的类似项目汇总表</w:t>
      </w:r>
      <w:r/>
    </w:p>
    <w:tbl>
      <w:tblPr>
        <w:tblStyle w:val="740"/>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496"/>
        <w:gridCol w:w="1339"/>
        <w:gridCol w:w="1984"/>
        <w:gridCol w:w="851"/>
        <w:gridCol w:w="850"/>
        <w:gridCol w:w="993"/>
      </w:tblGrid>
      <w:tr>
        <w:trPr>
          <w:trHeight w:val="393"/>
        </w:trPr>
        <w:tc>
          <w:tcPr>
            <w:tcW w:w="851" w:type="dxa"/>
            <w:vAlign w:val="center"/>
            <w:textDirection w:val="lrTb"/>
            <w:noWrap w:val="false"/>
          </w:tcPr>
          <w:p>
            <w:pPr>
              <w:jc w:val="center"/>
              <w:rPr>
                <w:b/>
                <w:sz w:val="24"/>
                <w:szCs w:val="24"/>
              </w:rPr>
            </w:pPr>
            <w:r>
              <w:rPr>
                <w:b/>
                <w:sz w:val="24"/>
                <w:szCs w:val="24"/>
              </w:rPr>
              <w:t xml:space="preserve">序号</w:t>
            </w:r>
            <w:r/>
          </w:p>
        </w:tc>
        <w:tc>
          <w:tcPr>
            <w:tcW w:w="1496" w:type="dxa"/>
            <w:vAlign w:val="center"/>
            <w:textDirection w:val="lrTb"/>
            <w:noWrap w:val="false"/>
          </w:tcPr>
          <w:p>
            <w:pPr>
              <w:jc w:val="center"/>
              <w:rPr>
                <w:b/>
                <w:sz w:val="24"/>
                <w:szCs w:val="24"/>
              </w:rPr>
            </w:pPr>
            <w:r>
              <w:rPr>
                <w:rFonts w:hint="eastAsia"/>
                <w:b/>
                <w:sz w:val="24"/>
                <w:szCs w:val="24"/>
              </w:rPr>
              <w:t xml:space="preserve">项目名称</w:t>
            </w:r>
            <w:r/>
          </w:p>
        </w:tc>
        <w:tc>
          <w:tcPr>
            <w:tcW w:w="1339" w:type="dxa"/>
            <w:vAlign w:val="center"/>
            <w:textDirection w:val="lrTb"/>
            <w:noWrap w:val="false"/>
          </w:tcPr>
          <w:p>
            <w:pPr>
              <w:jc w:val="center"/>
              <w:rPr>
                <w:b/>
                <w:sz w:val="24"/>
                <w:szCs w:val="24"/>
              </w:rPr>
            </w:pPr>
            <w:r>
              <w:rPr>
                <w:rFonts w:hint="eastAsia"/>
                <w:b/>
                <w:sz w:val="24"/>
                <w:szCs w:val="24"/>
              </w:rPr>
              <w:t xml:space="preserve">承办地区</w:t>
            </w:r>
            <w:r/>
          </w:p>
        </w:tc>
        <w:tc>
          <w:tcPr>
            <w:tcW w:w="1984" w:type="dxa"/>
            <w:vAlign w:val="center"/>
            <w:textDirection w:val="lrTb"/>
            <w:noWrap w:val="false"/>
          </w:tcPr>
          <w:p>
            <w:pPr>
              <w:jc w:val="center"/>
              <w:rPr>
                <w:b/>
                <w:sz w:val="24"/>
                <w:szCs w:val="24"/>
              </w:rPr>
            </w:pPr>
            <w:r>
              <w:rPr>
                <w:rFonts w:hint="eastAsia"/>
                <w:b/>
                <w:sz w:val="24"/>
                <w:szCs w:val="24"/>
              </w:rPr>
              <w:t xml:space="preserve">独立承办/联合承办主承办方/联合承办非主承办方</w:t>
            </w:r>
            <w:r/>
          </w:p>
        </w:tc>
        <w:tc>
          <w:tcPr>
            <w:tcW w:w="851" w:type="dxa"/>
            <w:vAlign w:val="center"/>
            <w:textDirection w:val="lrTb"/>
            <w:noWrap w:val="false"/>
          </w:tcPr>
          <w:p>
            <w:pPr>
              <w:jc w:val="center"/>
              <w:rPr>
                <w:b/>
                <w:sz w:val="24"/>
                <w:szCs w:val="24"/>
              </w:rPr>
            </w:pPr>
            <w:r>
              <w:rPr>
                <w:rFonts w:hint="eastAsia"/>
                <w:b/>
                <w:sz w:val="24"/>
                <w:szCs w:val="24"/>
              </w:rPr>
              <w:t xml:space="preserve">实施时间</w:t>
            </w:r>
            <w:r/>
          </w:p>
        </w:tc>
        <w:tc>
          <w:tcPr>
            <w:tcW w:w="850" w:type="dxa"/>
            <w:vAlign w:val="center"/>
            <w:textDirection w:val="lrTb"/>
            <w:noWrap w:val="false"/>
          </w:tcPr>
          <w:p>
            <w:pPr>
              <w:jc w:val="center"/>
              <w:rPr>
                <w:b/>
                <w:sz w:val="24"/>
                <w:szCs w:val="24"/>
              </w:rPr>
            </w:pPr>
            <w:r>
              <w:rPr>
                <w:rFonts w:hint="eastAsia"/>
                <w:b/>
                <w:sz w:val="24"/>
                <w:szCs w:val="24"/>
              </w:rPr>
              <w:t xml:space="preserve">承办机构</w:t>
            </w:r>
            <w:r/>
          </w:p>
        </w:tc>
        <w:tc>
          <w:tcPr>
            <w:tcW w:w="993" w:type="dxa"/>
            <w:vAlign w:val="center"/>
            <w:textDirection w:val="lrTb"/>
            <w:noWrap w:val="false"/>
          </w:tcPr>
          <w:p>
            <w:pPr>
              <w:jc w:val="center"/>
              <w:rPr>
                <w:b/>
                <w:sz w:val="24"/>
                <w:szCs w:val="24"/>
              </w:rPr>
            </w:pPr>
            <w:r>
              <w:rPr>
                <w:rFonts w:hint="eastAsia"/>
                <w:b/>
                <w:sz w:val="24"/>
                <w:szCs w:val="24"/>
              </w:rPr>
              <w:t xml:space="preserve">备注</w:t>
            </w:r>
            <w:r/>
          </w:p>
        </w:tc>
      </w:tr>
      <w:tr>
        <w:trPr>
          <w:trHeight w:val="397"/>
        </w:trPr>
        <w:tc>
          <w:tcPr>
            <w:tcW w:w="851" w:type="dxa"/>
            <w:vAlign w:val="center"/>
            <w:textDirection w:val="lrTb"/>
            <w:noWrap w:val="false"/>
          </w:tcPr>
          <w:p>
            <w:pPr>
              <w:jc w:val="center"/>
              <w:rPr>
                <w:sz w:val="24"/>
                <w:szCs w:val="24"/>
              </w:rPr>
            </w:pPr>
            <w:r>
              <w:rPr>
                <w:sz w:val="24"/>
                <w:szCs w:val="24"/>
              </w:rPr>
              <w:t xml:space="preserve">1</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2</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3</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bl>
    <w:p>
      <w:pPr>
        <w:ind w:firstLine="480"/>
        <w:spacing w:line="460" w:lineRule="exact"/>
        <w:rPr>
          <w:sz w:val="24"/>
          <w:szCs w:val="24"/>
        </w:rPr>
      </w:pPr>
      <w:r>
        <w:rPr>
          <w:rFonts w:hint="eastAsia"/>
          <w:sz w:val="24"/>
          <w:szCs w:val="24"/>
        </w:rPr>
        <w:t xml:space="preserve">注：1、</w:t>
      </w:r>
      <w:r>
        <w:rPr>
          <w:sz w:val="24"/>
          <w:szCs w:val="24"/>
        </w:rPr>
        <w:t xml:space="preserve">如有需要说明的事项，请在备注中列明。</w:t>
      </w:r>
      <w:r/>
    </w:p>
    <w:p>
      <w:pPr>
        <w:pStyle w:val="775"/>
      </w:pPr>
      <w:r/>
      <w:r/>
    </w:p>
    <w:p>
      <w:pPr>
        <w:pStyle w:val="775"/>
      </w:pPr>
      <w:r/>
      <w:r/>
    </w:p>
    <w:p>
      <w:pPr>
        <w:pStyle w:val="775"/>
      </w:pPr>
      <w:r/>
      <w:r/>
    </w:p>
    <w:p>
      <w:pPr>
        <w:pStyle w:val="775"/>
      </w:pPr>
      <w:r/>
      <w:r/>
    </w:p>
    <w:p>
      <w:pPr>
        <w:pStyle w:val="775"/>
      </w:p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pStyle w:val="741"/>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附件1</w:t>
      </w:r>
      <w:r>
        <w:rPr>
          <w:rFonts w:hint="eastAsia" w:ascii="黑体" w:hAnsi="黑体" w:eastAsia="黑体"/>
          <w:sz w:val="32"/>
          <w:szCs w:val="32"/>
        </w:rPr>
        <w:t xml:space="preserve">1：</w:t>
      </w:r>
      <w:r/>
    </w:p>
    <w:p>
      <w:pPr>
        <w:jc w:val="center"/>
        <w:spacing w:before="50" w:after="50" w:line="360" w:lineRule="exact"/>
        <w:rPr>
          <w:rFonts w:ascii="黑体" w:hAnsi="黑体" w:eastAsia="黑体"/>
          <w:sz w:val="32"/>
          <w:szCs w:val="32"/>
        </w:rPr>
        <w:outlineLvl w:val="0"/>
      </w:pPr>
      <w:r>
        <w:rPr>
          <w:rFonts w:hint="eastAsia" w:ascii="黑体" w:hAnsi="黑体" w:eastAsia="黑体"/>
          <w:sz w:val="32"/>
          <w:szCs w:val="32"/>
        </w:rPr>
        <w:t xml:space="preserve">质疑函范本</w:t>
      </w:r>
      <w:r/>
    </w:p>
    <w:p>
      <w:pPr>
        <w:spacing w:before="312" w:line="360" w:lineRule="exact"/>
        <w:rPr>
          <w:rFonts w:ascii="宋体" w:hAnsi="宋体" w:cs="仿宋"/>
          <w:bCs/>
          <w:sz w:val="24"/>
          <w:szCs w:val="24"/>
        </w:rPr>
        <w:outlineLvl w:val="0"/>
      </w:pPr>
      <w:r>
        <w:rPr>
          <w:rFonts w:hint="eastAsia" w:ascii="宋体" w:hAnsi="宋体" w:cs="仿宋"/>
          <w:bCs/>
          <w:sz w:val="24"/>
          <w:szCs w:val="24"/>
        </w:rPr>
        <w:t xml:space="preserve">一、质疑供应商基本信息</w:t>
      </w:r>
      <w:r/>
    </w:p>
    <w:p>
      <w:pPr>
        <w:spacing w:line="36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二、质疑项目基本情况</w:t>
      </w:r>
      <w:r/>
    </w:p>
    <w:p>
      <w:pPr>
        <w:spacing w:line="36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三、质疑事项具体内容</w:t>
      </w:r>
      <w:r/>
    </w:p>
    <w:p>
      <w:pPr>
        <w:spacing w:line="36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质疑事项2</w:t>
      </w:r>
      <w:r/>
    </w:p>
    <w:p>
      <w:pPr>
        <w:spacing w:line="360" w:lineRule="exact"/>
        <w:rPr>
          <w:rFonts w:ascii="宋体" w:hAnsi="宋体" w:cs="仿宋"/>
          <w:sz w:val="24"/>
          <w:szCs w:val="24"/>
        </w:rPr>
      </w:pPr>
      <w:r>
        <w:rPr>
          <w:rFonts w:hint="eastAsia" w:ascii="宋体" w:hAnsi="宋体" w:cs="仿宋"/>
          <w:sz w:val="24"/>
          <w:szCs w:val="24"/>
        </w:rPr>
        <w:t xml:space="preserve">……</w:t>
      </w:r>
      <w:r/>
    </w:p>
    <w:p>
      <w:pPr>
        <w:spacing w:line="360" w:lineRule="exact"/>
        <w:rPr>
          <w:rFonts w:ascii="宋体" w:hAnsi="宋体" w:cs="仿宋"/>
          <w:bCs/>
          <w:sz w:val="24"/>
          <w:szCs w:val="24"/>
        </w:rPr>
        <w:outlineLvl w:val="0"/>
      </w:pPr>
      <w:r>
        <w:rPr>
          <w:rFonts w:hint="eastAsia" w:ascii="宋体" w:hAnsi="宋体" w:cs="仿宋"/>
          <w:bCs/>
          <w:sz w:val="24"/>
          <w:szCs w:val="24"/>
        </w:rPr>
        <w:t xml:space="preserve">四、与质疑事项相关的质疑请求</w:t>
      </w:r>
      <w:r/>
    </w:p>
    <w:p>
      <w:pPr>
        <w:spacing w:line="36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exact"/>
        <w:rPr>
          <w:rFonts w:ascii="宋体" w:hAnsi="宋体"/>
          <w:sz w:val="24"/>
          <w:szCs w:val="24"/>
        </w:rPr>
      </w:pPr>
      <w:r>
        <w:rPr>
          <w:rFonts w:hint="eastAsia" w:ascii="宋体" w:hAnsi="宋体"/>
          <w:sz w:val="24"/>
          <w:szCs w:val="24"/>
        </w:rPr>
        <w:t xml:space="preserve">签字(签章)：                   公章：                      </w:t>
      </w:r>
      <w:r/>
    </w:p>
    <w:p>
      <w:pPr>
        <w:spacing w:line="360" w:lineRule="exact"/>
        <w:rPr>
          <w:rFonts w:ascii="宋体" w:hAnsi="宋体"/>
          <w:sz w:val="24"/>
          <w:szCs w:val="24"/>
        </w:rPr>
      </w:pPr>
      <w:r>
        <w:rPr>
          <w:rFonts w:hint="eastAsia" w:ascii="宋体" w:hAnsi="宋体"/>
          <w:sz w:val="24"/>
          <w:szCs w:val="24"/>
        </w:rPr>
        <w:t xml:space="preserve">日期：    </w:t>
      </w:r>
      <w:r/>
    </w:p>
    <w:p>
      <w:pPr>
        <w:spacing w:line="36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36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5880"/>
        <w:spacing w:line="360" w:lineRule="exact"/>
        <w:rPr>
          <w:rFonts w:ascii="Times New Roman" w:hAnsi="Times New Roman"/>
          <w:szCs w:val="21"/>
        </w:rPr>
        <w:outlineLvl w:val="0"/>
      </w:pPr>
      <w:r>
        <w:rPr>
          <w:rFonts w:hint="eastAsia" w:ascii="Times New Roman" w:hAnsi="Times New Roman"/>
          <w:szCs w:val="21"/>
        </w:rPr>
        <w:t xml:space="preserve">（全文完）</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lvlOverride w:ilvl="0">
      <w:startOverride w:val="1"/>
    </w:lvlOverride>
  </w:num>
  <w:num w:numId="3">
    <w:abstractNumId w:val="4"/>
  </w:num>
  <w:num w:numId="4">
    <w:abstractNumId w:val="3"/>
  </w:num>
  <w:num w:numId="5">
    <w:abstractNumId w:val="2"/>
  </w:num>
  <w:num w:numId="6">
    <w:abstractNumId w:val="11"/>
  </w:num>
  <w:num w:numId="7">
    <w:abstractNumId w:val="9"/>
  </w:num>
  <w:num w:numId="8">
    <w:abstractNumId w:val="1"/>
  </w:num>
  <w:num w:numId="9">
    <w:abstractNumId w:val="10"/>
  </w:num>
  <w:num w:numId="10">
    <w:abstractNumId w:val="6"/>
  </w:num>
  <w:num w:numId="11">
    <w:abstractNumId w:val="0"/>
  </w:num>
  <w:num w:numId="12">
    <w:abstractNumId w:val="8"/>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TOC Heading"/>
    <w:uiPriority w:val="39"/>
    <w:unhideWhenUsed/>
  </w:style>
  <w:style w:type="paragraph" w:styleId="729" w:default="1">
    <w:name w:val="Normal"/>
    <w:next w:val="741"/>
    <w:uiPriority w:val="0"/>
    <w:qFormat/>
    <w:pPr>
      <w:jc w:val="both"/>
      <w:widowControl w:val="off"/>
    </w:pPr>
    <w:rPr>
      <w:rFonts w:ascii="Calibri" w:hAnsi="Calibri" w:eastAsia="宋体" w:cs="Times New Roman"/>
      <w:sz w:val="21"/>
      <w:szCs w:val="22"/>
      <w:lang w:val="en-US" w:eastAsia="zh-CN" w:bidi="ar-SA"/>
    </w:rPr>
  </w:style>
  <w:style w:type="paragraph" w:styleId="730">
    <w:name w:val="Heading 1"/>
    <w:basedOn w:val="729"/>
    <w:next w:val="729"/>
    <w:link w:val="795"/>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96"/>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97"/>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98"/>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99"/>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00"/>
    <w:uiPriority w:val="9"/>
    <w:unhideWhenUsed/>
    <w:qFormat/>
    <w:pPr>
      <w:keepLines/>
      <w:keepNext/>
      <w:spacing w:before="320" w:after="200"/>
      <w:outlineLvl w:val="5"/>
    </w:pPr>
    <w:rPr>
      <w:rFonts w:ascii="Arial" w:hAnsi="Arial" w:eastAsia="Arial" w:cs="Arial"/>
      <w:b/>
      <w:bCs/>
      <w:sz w:val="22"/>
    </w:rPr>
  </w:style>
  <w:style w:type="paragraph" w:styleId="736">
    <w:name w:val="Heading 7"/>
    <w:basedOn w:val="729"/>
    <w:next w:val="729"/>
    <w:link w:val="801"/>
    <w:uiPriority w:val="9"/>
    <w:unhideWhenUsed/>
    <w:qFormat/>
    <w:pPr>
      <w:keepLines/>
      <w:keepNext/>
      <w:spacing w:before="320" w:after="200"/>
      <w:outlineLvl w:val="6"/>
    </w:pPr>
    <w:rPr>
      <w:rFonts w:ascii="Arial" w:hAnsi="Arial" w:eastAsia="Arial" w:cs="Arial"/>
      <w:b/>
      <w:bCs/>
      <w:i/>
      <w:iCs/>
      <w:sz w:val="22"/>
    </w:rPr>
  </w:style>
  <w:style w:type="paragraph" w:styleId="737">
    <w:name w:val="Heading 8"/>
    <w:basedOn w:val="729"/>
    <w:next w:val="729"/>
    <w:link w:val="802"/>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link w:val="803"/>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Body Text"/>
    <w:basedOn w:val="729"/>
    <w:next w:val="742"/>
    <w:link w:val="976"/>
    <w:uiPriority w:val="0"/>
    <w:unhideWhenUsed/>
    <w:qFormat/>
    <w:pPr>
      <w:spacing w:after="120"/>
    </w:pPr>
  </w:style>
  <w:style w:type="paragraph" w:styleId="742">
    <w:name w:val="Body Text First Indent"/>
    <w:basedOn w:val="741"/>
    <w:link w:val="977"/>
    <w:uiPriority w:val="0"/>
    <w:unhideWhenUsed/>
    <w:qFormat/>
    <w:pPr>
      <w:ind w:firstLine="420"/>
    </w:pPr>
    <w:rPr>
      <w:rFonts w:asciiTheme="minorHAnsi" w:hAnsiTheme="minorHAnsi" w:eastAsiaTheme="minorEastAsia" w:cstheme="minorBidi"/>
    </w:rPr>
  </w:style>
  <w:style w:type="paragraph" w:styleId="743">
    <w:name w:val="toc 7"/>
    <w:basedOn w:val="729"/>
    <w:next w:val="729"/>
    <w:uiPriority w:val="39"/>
    <w:unhideWhenUsed/>
    <w:qFormat/>
    <w:pPr>
      <w:ind w:left="1701"/>
      <w:spacing w:after="57"/>
    </w:pPr>
  </w:style>
  <w:style w:type="paragraph" w:styleId="744">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29"/>
    <w:link w:val="981"/>
    <w:uiPriority w:val="99"/>
    <w:qFormat/>
    <w:pPr>
      <w:jc w:val="left"/>
      <w:spacing w:line="300" w:lineRule="auto"/>
    </w:pPr>
    <w:rPr>
      <w:rFonts w:cs="Calibri"/>
      <w:szCs w:val="21"/>
    </w:rPr>
  </w:style>
  <w:style w:type="paragraph" w:styleId="746">
    <w:name w:val="Body Text Indent"/>
    <w:basedOn w:val="729"/>
    <w:link w:val="1098"/>
    <w:uiPriority w:val="99"/>
    <w:unhideWhenUsed/>
    <w:qFormat/>
    <w:pPr>
      <w:ind w:left="420"/>
      <w:spacing w:after="120"/>
    </w:pPr>
    <w:rPr>
      <w:rFonts w:asciiTheme="minorHAnsi" w:hAnsiTheme="minorHAnsi" w:eastAsiaTheme="minorEastAsia" w:cstheme="minorBidi"/>
      <w:szCs w:val="24"/>
    </w:rPr>
  </w:style>
  <w:style w:type="paragraph" w:styleId="747">
    <w:name w:val="toc 5"/>
    <w:basedOn w:val="729"/>
    <w:next w:val="729"/>
    <w:uiPriority w:val="39"/>
    <w:unhideWhenUsed/>
    <w:qFormat/>
    <w:pPr>
      <w:ind w:left="1134"/>
      <w:spacing w:after="57"/>
    </w:pPr>
  </w:style>
  <w:style w:type="paragraph" w:styleId="748">
    <w:name w:val="toc 3"/>
    <w:basedOn w:val="729"/>
    <w:next w:val="729"/>
    <w:uiPriority w:val="39"/>
    <w:unhideWhenUsed/>
    <w:qFormat/>
    <w:pPr>
      <w:ind w:left="567"/>
      <w:spacing w:after="57"/>
    </w:pPr>
  </w:style>
  <w:style w:type="paragraph" w:styleId="749">
    <w:name w:val="Plain Text"/>
    <w:basedOn w:val="729"/>
    <w:link w:val="978"/>
    <w:uiPriority w:val="99"/>
    <w:unhideWhenUsed/>
    <w:qFormat/>
    <w:rPr>
      <w:rFonts w:ascii="宋体" w:hAnsi="Courier New"/>
      <w:szCs w:val="21"/>
      <w:lang w:val="zh-CN"/>
    </w:rPr>
  </w:style>
  <w:style w:type="paragraph" w:styleId="750">
    <w:name w:val="toc 8"/>
    <w:basedOn w:val="729"/>
    <w:next w:val="729"/>
    <w:uiPriority w:val="39"/>
    <w:unhideWhenUsed/>
    <w:qFormat/>
    <w:pPr>
      <w:ind w:left="1984"/>
      <w:spacing w:after="57"/>
    </w:pPr>
  </w:style>
  <w:style w:type="paragraph" w:styleId="751">
    <w:name w:val="endnote text"/>
    <w:basedOn w:val="729"/>
    <w:link w:val="941"/>
    <w:uiPriority w:val="99"/>
    <w:semiHidden/>
    <w:unhideWhenUsed/>
    <w:qFormat/>
    <w:rPr>
      <w:sz w:val="20"/>
    </w:rPr>
  </w:style>
  <w:style w:type="paragraph" w:styleId="752">
    <w:name w:val="Balloon Text"/>
    <w:basedOn w:val="729"/>
    <w:link w:val="975"/>
    <w:uiPriority w:val="99"/>
    <w:unhideWhenUsed/>
    <w:qFormat/>
    <w:rPr>
      <w:sz w:val="18"/>
      <w:szCs w:val="18"/>
    </w:rPr>
  </w:style>
  <w:style w:type="paragraph" w:styleId="753">
    <w:name w:val="Footer"/>
    <w:basedOn w:val="729"/>
    <w:link w:val="814"/>
    <w:uiPriority w:val="0"/>
    <w:unhideWhenUsed/>
    <w:qFormat/>
    <w:pPr>
      <w:tabs>
        <w:tab w:val="center" w:pos="7143" w:leader="none"/>
        <w:tab w:val="right" w:pos="14287" w:leader="none"/>
      </w:tabs>
    </w:pPr>
  </w:style>
  <w:style w:type="paragraph" w:styleId="754">
    <w:name w:val="Header"/>
    <w:basedOn w:val="729"/>
    <w:link w:val="812"/>
    <w:uiPriority w:val="0"/>
    <w:unhideWhenUsed/>
    <w:qFormat/>
    <w:pPr>
      <w:tabs>
        <w:tab w:val="center" w:pos="7143" w:leader="none"/>
        <w:tab w:val="right" w:pos="14287" w:leader="none"/>
      </w:tabs>
    </w:pPr>
  </w:style>
  <w:style w:type="paragraph" w:styleId="755">
    <w:name w:val="toc 1"/>
    <w:basedOn w:val="729"/>
    <w:next w:val="729"/>
    <w:uiPriority w:val="39"/>
    <w:unhideWhenUsed/>
    <w:qFormat/>
    <w:pPr>
      <w:spacing w:after="57"/>
    </w:pPr>
  </w:style>
  <w:style w:type="paragraph" w:styleId="756">
    <w:name w:val="toc 4"/>
    <w:basedOn w:val="729"/>
    <w:next w:val="729"/>
    <w:uiPriority w:val="39"/>
    <w:unhideWhenUsed/>
    <w:qFormat/>
    <w:pPr>
      <w:ind w:left="850"/>
      <w:spacing w:after="57"/>
    </w:pPr>
  </w:style>
  <w:style w:type="paragraph" w:styleId="757">
    <w:name w:val="Subtitle"/>
    <w:basedOn w:val="729"/>
    <w:next w:val="729"/>
    <w:link w:val="807"/>
    <w:uiPriority w:val="11"/>
    <w:qFormat/>
    <w:pPr>
      <w:spacing w:before="200" w:after="200"/>
    </w:pPr>
    <w:rPr>
      <w:sz w:val="24"/>
      <w:szCs w:val="24"/>
    </w:rPr>
  </w:style>
  <w:style w:type="paragraph" w:styleId="758">
    <w:name w:val="footnote text"/>
    <w:basedOn w:val="729"/>
    <w:link w:val="940"/>
    <w:uiPriority w:val="99"/>
    <w:semiHidden/>
    <w:unhideWhenUsed/>
    <w:qFormat/>
    <w:pPr>
      <w:spacing w:after="40"/>
    </w:pPr>
    <w:rPr>
      <w:sz w:val="18"/>
    </w:rPr>
  </w:style>
  <w:style w:type="paragraph" w:styleId="759">
    <w:name w:val="toc 6"/>
    <w:basedOn w:val="729"/>
    <w:next w:val="729"/>
    <w:uiPriority w:val="39"/>
    <w:unhideWhenUsed/>
    <w:qFormat/>
    <w:pPr>
      <w:ind w:left="1417"/>
      <w:spacing w:after="57"/>
    </w:pPr>
  </w:style>
  <w:style w:type="paragraph" w:styleId="760">
    <w:name w:val="table of figures"/>
    <w:basedOn w:val="729"/>
    <w:next w:val="729"/>
    <w:uiPriority w:val="99"/>
    <w:unhideWhenUsed/>
    <w:qFormat/>
  </w:style>
  <w:style w:type="paragraph" w:styleId="761">
    <w:name w:val="toc 2"/>
    <w:basedOn w:val="729"/>
    <w:next w:val="729"/>
    <w:uiPriority w:val="39"/>
    <w:unhideWhenUsed/>
    <w:qFormat/>
    <w:pPr>
      <w:ind w:left="283"/>
      <w:spacing w:after="57"/>
    </w:pPr>
  </w:style>
  <w:style w:type="paragraph" w:styleId="762">
    <w:name w:val="toc 9"/>
    <w:basedOn w:val="729"/>
    <w:next w:val="729"/>
    <w:uiPriority w:val="39"/>
    <w:unhideWhenUsed/>
    <w:qFormat/>
    <w:pPr>
      <w:ind w:left="2268"/>
      <w:spacing w:after="57"/>
    </w:pPr>
  </w:style>
  <w:style w:type="paragraph" w:styleId="763">
    <w:name w:val="HTML Preformatted"/>
    <w:basedOn w:val="729"/>
    <w:link w:val="983"/>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64">
    <w:name w:val="Normal (Web)"/>
    <w:basedOn w:val="729"/>
    <w:uiPriority w:val="99"/>
    <w:unhideWhenUsed/>
    <w:qFormat/>
    <w:pPr>
      <w:jc w:val="left"/>
      <w:spacing w:beforeAutospacing="1" w:afterAutospacing="1"/>
    </w:pPr>
    <w:rPr>
      <w:sz w:val="24"/>
    </w:rPr>
  </w:style>
  <w:style w:type="paragraph" w:styleId="765">
    <w:name w:val="Title"/>
    <w:basedOn w:val="729"/>
    <w:next w:val="729"/>
    <w:link w:val="806"/>
    <w:uiPriority w:val="10"/>
    <w:qFormat/>
    <w:pPr>
      <w:contextualSpacing/>
      <w:spacing w:before="300" w:after="200"/>
    </w:pPr>
    <w:rPr>
      <w:sz w:val="48"/>
      <w:szCs w:val="48"/>
    </w:rPr>
  </w:style>
  <w:style w:type="paragraph" w:styleId="766">
    <w:name w:val="annotation subject"/>
    <w:basedOn w:val="745"/>
    <w:next w:val="745"/>
    <w:link w:val="986"/>
    <w:uiPriority w:val="99"/>
    <w:qFormat/>
    <w:rPr>
      <w:b/>
      <w:bCs/>
    </w:rPr>
  </w:style>
  <w:style w:type="paragraph" w:styleId="767">
    <w:name w:val="Body Text First Indent 2"/>
    <w:basedOn w:val="746"/>
    <w:uiPriority w:val="0"/>
    <w:semiHidden/>
    <w:unhideWhenUsed/>
    <w:qFormat/>
    <w:pPr>
      <w:ind w:firstLine="420"/>
    </w:pPr>
    <w:rPr>
      <w:rFonts w:ascii="Calibri" w:hAnsi="Calibri" w:eastAsia="宋体" w:cs="Times New Roman"/>
      <w:sz w:val="20"/>
      <w:szCs w:val="20"/>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basedOn w:val="739"/>
    <w:uiPriority w:val="22"/>
    <w:qFormat/>
    <w:rPr>
      <w:b/>
    </w:rPr>
  </w:style>
  <w:style w:type="character" w:styleId="770">
    <w:name w:val="endnote reference"/>
    <w:uiPriority w:val="99"/>
    <w:semiHidden/>
    <w:unhideWhenUsed/>
    <w:qFormat/>
    <w:rPr>
      <w:vertAlign w:val="superscript"/>
    </w:rPr>
  </w:style>
  <w:style w:type="character" w:styleId="771">
    <w:name w:val="Emphasis"/>
    <w:uiPriority w:val="0"/>
    <w:qFormat/>
    <w:rPr>
      <w:i/>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annotation reference"/>
    <w:uiPriority w:val="99"/>
    <w:qFormat/>
    <w:rPr>
      <w:sz w:val="21"/>
      <w:szCs w:val="21"/>
    </w:rPr>
  </w:style>
  <w:style w:type="character" w:styleId="774">
    <w:name w:val="footnote reference"/>
    <w:uiPriority w:val="99"/>
    <w:unhideWhenUsed/>
    <w:qFormat/>
    <w:rPr>
      <w:vertAlign w:val="superscript"/>
    </w:rPr>
  </w:style>
  <w:style w:type="paragraph" w:styleId="775" w:customStyle="1">
    <w:name w:val="正文首行缩进 21"/>
    <w:basedOn w:val="776"/>
    <w:link w:val="997"/>
    <w:uiPriority w:val="0"/>
    <w:unhideWhenUsed/>
    <w:qFormat/>
    <w:pPr>
      <w:ind w:left="0" w:firstLine="420"/>
      <w:spacing w:after="0" w:line="360" w:lineRule="auto"/>
    </w:pPr>
    <w:rPr>
      <w:rFonts w:ascii="宋体" w:hAnsi="宋体"/>
      <w:szCs w:val="20"/>
    </w:rPr>
  </w:style>
  <w:style w:type="paragraph" w:styleId="776" w:customStyle="1">
    <w:name w:val="正文文本缩进11"/>
    <w:basedOn w:val="729"/>
    <w:uiPriority w:val="99"/>
    <w:unhideWhenUsed/>
    <w:qFormat/>
    <w:pPr>
      <w:ind w:left="420"/>
      <w:spacing w:after="120"/>
    </w:pPr>
  </w:style>
  <w:style w:type="character" w:styleId="777" w:customStyle="1">
    <w:name w:val="Heading 1 Char"/>
    <w:basedOn w:val="739"/>
    <w:uiPriority w:val="9"/>
    <w:qFormat/>
    <w:rPr>
      <w:rFonts w:ascii="Arial" w:hAnsi="Arial" w:eastAsia="Arial" w:cs="Arial"/>
      <w:sz w:val="40"/>
      <w:szCs w:val="40"/>
    </w:rPr>
  </w:style>
  <w:style w:type="character" w:styleId="778" w:customStyle="1">
    <w:name w:val="Heading 2 Char"/>
    <w:basedOn w:val="739"/>
    <w:uiPriority w:val="9"/>
    <w:qFormat/>
    <w:rPr>
      <w:rFonts w:ascii="Arial" w:hAnsi="Arial" w:eastAsia="Arial" w:cs="Arial"/>
      <w:sz w:val="34"/>
    </w:rPr>
  </w:style>
  <w:style w:type="character" w:styleId="779" w:customStyle="1">
    <w:name w:val="Heading 3 Char"/>
    <w:basedOn w:val="739"/>
    <w:uiPriority w:val="9"/>
    <w:qFormat/>
    <w:rPr>
      <w:rFonts w:ascii="Arial" w:hAnsi="Arial" w:eastAsia="Arial" w:cs="Arial"/>
      <w:sz w:val="30"/>
      <w:szCs w:val="30"/>
    </w:rPr>
  </w:style>
  <w:style w:type="character" w:styleId="780" w:customStyle="1">
    <w:name w:val="Heading 4 Char"/>
    <w:basedOn w:val="739"/>
    <w:uiPriority w:val="9"/>
    <w:qFormat/>
    <w:rPr>
      <w:rFonts w:ascii="Arial" w:hAnsi="Arial" w:eastAsia="Arial" w:cs="Arial"/>
      <w:b/>
      <w:bCs/>
      <w:sz w:val="26"/>
      <w:szCs w:val="26"/>
    </w:rPr>
  </w:style>
  <w:style w:type="character" w:styleId="781" w:customStyle="1">
    <w:name w:val="Heading 5 Char"/>
    <w:basedOn w:val="739"/>
    <w:uiPriority w:val="9"/>
    <w:qFormat/>
    <w:rPr>
      <w:rFonts w:ascii="Arial" w:hAnsi="Arial" w:eastAsia="Arial" w:cs="Arial"/>
      <w:b/>
      <w:bCs/>
      <w:sz w:val="24"/>
      <w:szCs w:val="24"/>
    </w:rPr>
  </w:style>
  <w:style w:type="character" w:styleId="782" w:customStyle="1">
    <w:name w:val="Heading 6 Char"/>
    <w:basedOn w:val="739"/>
    <w:uiPriority w:val="9"/>
    <w:qFormat/>
    <w:rPr>
      <w:rFonts w:ascii="Arial" w:hAnsi="Arial" w:eastAsia="Arial" w:cs="Arial"/>
      <w:b/>
      <w:bCs/>
      <w:sz w:val="22"/>
      <w:szCs w:val="22"/>
    </w:rPr>
  </w:style>
  <w:style w:type="character" w:styleId="783" w:customStyle="1">
    <w:name w:val="Heading 7 Char"/>
    <w:basedOn w:val="739"/>
    <w:uiPriority w:val="9"/>
    <w:qFormat/>
    <w:rPr>
      <w:rFonts w:ascii="Arial" w:hAnsi="Arial" w:eastAsia="Arial" w:cs="Arial"/>
      <w:b/>
      <w:bCs/>
      <w:i/>
      <w:iCs/>
      <w:sz w:val="22"/>
      <w:szCs w:val="22"/>
    </w:rPr>
  </w:style>
  <w:style w:type="character" w:styleId="784" w:customStyle="1">
    <w:name w:val="Heading 8 Char"/>
    <w:basedOn w:val="739"/>
    <w:uiPriority w:val="9"/>
    <w:qFormat/>
    <w:rPr>
      <w:rFonts w:ascii="Arial" w:hAnsi="Arial" w:eastAsia="Arial" w:cs="Arial"/>
      <w:i/>
      <w:iCs/>
      <w:sz w:val="22"/>
      <w:szCs w:val="22"/>
    </w:rPr>
  </w:style>
  <w:style w:type="character" w:styleId="785" w:customStyle="1">
    <w:name w:val="Heading 9 Char"/>
    <w:basedOn w:val="739"/>
    <w:uiPriority w:val="9"/>
    <w:qFormat/>
    <w:rPr>
      <w:rFonts w:ascii="Arial" w:hAnsi="Arial" w:eastAsia="Arial" w:cs="Arial"/>
      <w:i/>
      <w:iCs/>
      <w:sz w:val="21"/>
      <w:szCs w:val="21"/>
    </w:rPr>
  </w:style>
  <w:style w:type="character" w:styleId="786" w:customStyle="1">
    <w:name w:val="Title Char"/>
    <w:basedOn w:val="739"/>
    <w:uiPriority w:val="10"/>
    <w:qFormat/>
    <w:rPr>
      <w:sz w:val="48"/>
      <w:szCs w:val="48"/>
    </w:rPr>
  </w:style>
  <w:style w:type="character" w:styleId="787" w:customStyle="1">
    <w:name w:val="Subtitle Char"/>
    <w:basedOn w:val="739"/>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39"/>
    <w:uiPriority w:val="99"/>
    <w:qFormat/>
  </w:style>
  <w:style w:type="character" w:styleId="791" w:customStyle="1">
    <w:name w:val="Caption Char"/>
    <w:uiPriority w:val="99"/>
    <w:qFormat/>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标题1"/>
    <w:uiPriority w:val="39"/>
    <w:unhideWhenUsed/>
    <w:qFormat/>
    <w:rPr>
      <w:rFonts w:ascii="Times New Roman" w:hAnsi="Times New Roman" w:eastAsia="宋体" w:cs="Times New Roman"/>
      <w:lang w:val="en-US" w:eastAsia="zh-CN" w:bidi="ar-SA"/>
    </w:rPr>
  </w:style>
  <w:style w:type="character" w:styleId="795" w:customStyle="1">
    <w:name w:val="标题 1 Char"/>
    <w:link w:val="730"/>
    <w:uiPriority w:val="0"/>
    <w:qFormat/>
    <w:rPr>
      <w:rFonts w:ascii="Arial" w:hAnsi="Arial" w:eastAsia="Arial" w:cs="Arial"/>
      <w:sz w:val="40"/>
      <w:szCs w:val="40"/>
    </w:rPr>
  </w:style>
  <w:style w:type="character" w:styleId="796" w:customStyle="1">
    <w:name w:val="标题 2 Char"/>
    <w:link w:val="731"/>
    <w:uiPriority w:val="0"/>
    <w:qFormat/>
    <w:rPr>
      <w:rFonts w:ascii="Arial" w:hAnsi="Arial" w:eastAsia="Arial" w:cs="Arial"/>
      <w:sz w:val="34"/>
    </w:rPr>
  </w:style>
  <w:style w:type="character" w:styleId="797" w:customStyle="1">
    <w:name w:val="标题 3 Char"/>
    <w:link w:val="732"/>
    <w:uiPriority w:val="0"/>
    <w:qFormat/>
    <w:rPr>
      <w:rFonts w:ascii="Arial" w:hAnsi="Arial" w:eastAsia="Arial" w:cs="Arial"/>
      <w:sz w:val="30"/>
      <w:szCs w:val="30"/>
    </w:rPr>
  </w:style>
  <w:style w:type="character" w:styleId="798" w:customStyle="1">
    <w:name w:val="标题 4 Char"/>
    <w:link w:val="733"/>
    <w:uiPriority w:val="0"/>
    <w:qFormat/>
    <w:rPr>
      <w:rFonts w:ascii="Arial" w:hAnsi="Arial" w:eastAsia="Arial" w:cs="Arial"/>
      <w:b/>
      <w:bCs/>
      <w:sz w:val="26"/>
      <w:szCs w:val="26"/>
    </w:rPr>
  </w:style>
  <w:style w:type="character" w:styleId="799" w:customStyle="1">
    <w:name w:val="标题 5 Char"/>
    <w:link w:val="734"/>
    <w:uiPriority w:val="0"/>
    <w:qFormat/>
    <w:rPr>
      <w:rFonts w:ascii="Arial" w:hAnsi="Arial" w:eastAsia="Arial" w:cs="Arial"/>
      <w:b/>
      <w:bCs/>
      <w:sz w:val="24"/>
      <w:szCs w:val="24"/>
    </w:rPr>
  </w:style>
  <w:style w:type="character" w:styleId="800" w:customStyle="1">
    <w:name w:val="标题 6 Char"/>
    <w:link w:val="735"/>
    <w:uiPriority w:val="0"/>
    <w:qFormat/>
    <w:rPr>
      <w:rFonts w:ascii="Arial" w:hAnsi="Arial" w:eastAsia="Arial" w:cs="Arial"/>
      <w:b/>
      <w:bCs/>
      <w:sz w:val="22"/>
      <w:szCs w:val="22"/>
    </w:rPr>
  </w:style>
  <w:style w:type="character" w:styleId="801" w:customStyle="1">
    <w:name w:val="标题 7 Char"/>
    <w:link w:val="736"/>
    <w:uiPriority w:val="0"/>
    <w:qFormat/>
    <w:rPr>
      <w:rFonts w:ascii="Arial" w:hAnsi="Arial" w:eastAsia="Arial" w:cs="Arial"/>
      <w:b/>
      <w:bCs/>
      <w:i/>
      <w:iCs/>
      <w:sz w:val="22"/>
      <w:szCs w:val="22"/>
    </w:rPr>
  </w:style>
  <w:style w:type="character" w:styleId="802" w:customStyle="1">
    <w:name w:val="标题 8 Char"/>
    <w:link w:val="737"/>
    <w:uiPriority w:val="0"/>
    <w:qFormat/>
    <w:rPr>
      <w:rFonts w:ascii="Arial" w:hAnsi="Arial" w:eastAsia="Arial" w:cs="Arial"/>
      <w:i/>
      <w:iCs/>
      <w:sz w:val="22"/>
      <w:szCs w:val="22"/>
    </w:rPr>
  </w:style>
  <w:style w:type="character" w:styleId="803" w:customStyle="1">
    <w:name w:val="标题 9 Char"/>
    <w:link w:val="738"/>
    <w:uiPriority w:val="0"/>
    <w:qFormat/>
    <w:rPr>
      <w:rFonts w:ascii="Arial" w:hAnsi="Arial" w:eastAsia="Arial" w:cs="Arial"/>
      <w:i/>
      <w:iCs/>
      <w:sz w:val="21"/>
      <w:szCs w:val="21"/>
    </w:rPr>
  </w:style>
  <w:style w:type="paragraph" w:styleId="804">
    <w:name w:val="List Paragraph"/>
    <w:basedOn w:val="729"/>
    <w:uiPriority w:val="34"/>
    <w:qFormat/>
    <w:pPr>
      <w:contextualSpacing/>
      <w:ind w:left="720"/>
    </w:pPr>
  </w:style>
  <w:style w:type="paragraph" w:styleId="805">
    <w:name w:val="No Spacing"/>
    <w:uiPriority w:val="1"/>
    <w:qFormat/>
    <w:rPr>
      <w:rFonts w:ascii="Calibri" w:hAnsi="Calibri" w:eastAsia="宋体" w:cs="Times New Roman"/>
      <w:lang w:val="en-US" w:eastAsia="zh-CN" w:bidi="ar-SA"/>
    </w:rPr>
  </w:style>
  <w:style w:type="character" w:styleId="806" w:customStyle="1">
    <w:name w:val="标题 Char"/>
    <w:link w:val="765"/>
    <w:uiPriority w:val="10"/>
    <w:qFormat/>
    <w:rPr>
      <w:sz w:val="48"/>
      <w:szCs w:val="48"/>
    </w:rPr>
  </w:style>
  <w:style w:type="character" w:styleId="807" w:customStyle="1">
    <w:name w:val="副标题 Char"/>
    <w:link w:val="757"/>
    <w:uiPriority w:val="11"/>
    <w:qFormat/>
    <w:rPr>
      <w:sz w:val="24"/>
      <w:szCs w:val="24"/>
    </w:rPr>
  </w:style>
  <w:style w:type="paragraph" w:styleId="808">
    <w:name w:val="Quote"/>
    <w:basedOn w:val="729"/>
    <w:next w:val="729"/>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729"/>
    <w:next w:val="729"/>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页眉 Char1"/>
    <w:link w:val="754"/>
    <w:uiPriority w:val="99"/>
    <w:qFormat/>
  </w:style>
  <w:style w:type="character" w:styleId="813" w:customStyle="1">
    <w:name w:val="Footer Char"/>
    <w:uiPriority w:val="99"/>
    <w:qFormat/>
  </w:style>
  <w:style w:type="character" w:styleId="814" w:customStyle="1">
    <w:name w:val="页脚 Char1"/>
    <w:link w:val="753"/>
    <w:uiPriority w:val="99"/>
    <w:qFormat/>
  </w:style>
  <w:style w:type="table" w:styleId="81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Char"/>
    <w:link w:val="758"/>
    <w:uiPriority w:val="99"/>
    <w:qFormat/>
    <w:rPr>
      <w:sz w:val="18"/>
    </w:rPr>
  </w:style>
  <w:style w:type="character" w:styleId="941" w:customStyle="1">
    <w:name w:val="尾注文本 Char"/>
    <w:link w:val="751"/>
    <w:uiPriority w:val="99"/>
    <w:qFormat/>
    <w:rPr>
      <w:sz w:val="20"/>
    </w:rPr>
  </w:style>
  <w:style w:type="paragraph" w:styleId="942" w:customStyle="1">
    <w:name w:val="TOC 标题11"/>
    <w:uiPriority w:val="39"/>
    <w:unhideWhenUsed/>
    <w:qFormat/>
    <w:rPr>
      <w:rFonts w:ascii="Calibri" w:hAnsi="Calibri" w:eastAsia="宋体" w:cs="Times New Roman"/>
      <w:lang w:val="en-US" w:eastAsia="zh-CN" w:bidi="ar-SA"/>
    </w:rPr>
  </w:style>
  <w:style w:type="paragraph" w:styleId="943" w:customStyle="1">
    <w:name w:val="标题 11"/>
    <w:basedOn w:val="729"/>
    <w:next w:val="729"/>
    <w:uiPriority w:val="0"/>
    <w:qFormat/>
    <w:pPr>
      <w:jc w:val="center"/>
      <w:keepNext/>
      <w:outlineLvl w:val="0"/>
    </w:pPr>
    <w:rPr>
      <w:rFonts w:ascii="楷体_GB2312" w:hAnsi="Times New Roman" w:eastAsia="楷体_GB2312"/>
      <w:sz w:val="28"/>
      <w:szCs w:val="28"/>
    </w:rPr>
  </w:style>
  <w:style w:type="paragraph" w:styleId="944" w:customStyle="1">
    <w:name w:val="标题 21"/>
    <w:basedOn w:val="729"/>
    <w:next w:val="945"/>
    <w:uiPriority w:val="0"/>
    <w:qFormat/>
    <w:pPr>
      <w:jc w:val="center"/>
      <w:keepLines/>
      <w:keepNext/>
      <w:spacing w:before="260" w:after="260" w:line="415" w:lineRule="auto"/>
      <w:outlineLvl w:val="1"/>
    </w:pPr>
    <w:rPr>
      <w:rFonts w:ascii="Arial" w:hAnsi="Arial" w:eastAsia="幼圆" w:cs="Arial"/>
      <w:b/>
      <w:bCs/>
      <w:sz w:val="44"/>
      <w:szCs w:val="44"/>
    </w:rPr>
  </w:style>
  <w:style w:type="paragraph" w:styleId="945" w:customStyle="1">
    <w:name w:val="正文缩进1"/>
    <w:basedOn w:val="729"/>
    <w:link w:val="1012"/>
    <w:uiPriority w:val="0"/>
    <w:unhideWhenUsed/>
    <w:qFormat/>
    <w:pPr>
      <w:ind w:firstLine="420"/>
    </w:pPr>
    <w:rPr>
      <w:rFonts w:ascii="Times New Roman" w:hAnsi="Times New Roman"/>
      <w:szCs w:val="21"/>
    </w:rPr>
  </w:style>
  <w:style w:type="paragraph" w:styleId="946" w:customStyle="1">
    <w:name w:val="标题 31"/>
    <w:basedOn w:val="729"/>
    <w:next w:val="945"/>
    <w:uiPriority w:val="0"/>
    <w:qFormat/>
    <w:pPr>
      <w:keepLines/>
      <w:keepNext/>
      <w:spacing w:before="260" w:after="260" w:line="415" w:lineRule="auto"/>
      <w:outlineLvl w:val="2"/>
    </w:pPr>
    <w:rPr>
      <w:rFonts w:ascii="Times New Roman" w:hAnsi="Times New Roman"/>
      <w:b/>
      <w:bCs/>
      <w:sz w:val="32"/>
      <w:szCs w:val="32"/>
    </w:rPr>
  </w:style>
  <w:style w:type="paragraph" w:styleId="947" w:customStyle="1">
    <w:name w:val="标题 41"/>
    <w:basedOn w:val="729"/>
    <w:next w:val="945"/>
    <w:uiPriority w:val="0"/>
    <w:qFormat/>
    <w:pPr>
      <w:keepLines/>
      <w:keepNext/>
      <w:spacing w:before="280" w:after="290" w:line="374" w:lineRule="auto"/>
      <w:outlineLvl w:val="3"/>
    </w:pPr>
    <w:rPr>
      <w:rFonts w:ascii="Arial" w:hAnsi="Arial" w:eastAsia="黑体" w:cs="Arial"/>
      <w:b/>
      <w:bCs/>
      <w:sz w:val="28"/>
      <w:szCs w:val="28"/>
    </w:rPr>
  </w:style>
  <w:style w:type="character" w:styleId="948" w:customStyle="1">
    <w:name w:val="默认段落字体1"/>
    <w:uiPriority w:val="1"/>
    <w:unhideWhenUsed/>
    <w:qFormat/>
  </w:style>
  <w:style w:type="table" w:styleId="949" w:customStyle="1">
    <w:name w:val="普通表格1"/>
    <w:uiPriority w:val="99"/>
    <w:unhideWhenUsed/>
    <w:qFormat/>
    <w:tblPr>
      <w:tblCellMar>
        <w:left w:w="0" w:type="dxa"/>
        <w:top w:w="0" w:type="dxa"/>
        <w:right w:w="0" w:type="dxa"/>
        <w:bottom w:w="0" w:type="dxa"/>
      </w:tblCellMar>
    </w:tblPr>
  </w:style>
  <w:style w:type="paragraph" w:styleId="950" w:customStyle="1">
    <w:name w:val="正文文本1"/>
    <w:basedOn w:val="729"/>
    <w:uiPriority w:val="0"/>
    <w:unhideWhenUsed/>
    <w:qFormat/>
    <w:pPr>
      <w:spacing w:after="120"/>
    </w:pPr>
  </w:style>
  <w:style w:type="paragraph" w:styleId="951" w:customStyle="1">
    <w:name w:val="文本块1"/>
    <w:basedOn w:val="729"/>
    <w:uiPriority w:val="0"/>
    <w:qFormat/>
    <w:pPr>
      <w:ind w:left="420" w:right="33"/>
      <w:jc w:val="left"/>
    </w:pPr>
    <w:rPr>
      <w:sz w:val="24"/>
      <w:szCs w:val="20"/>
    </w:rPr>
  </w:style>
  <w:style w:type="paragraph" w:styleId="952" w:customStyle="1">
    <w:name w:val="纯文本11"/>
    <w:basedOn w:val="729"/>
    <w:uiPriority w:val="99"/>
    <w:unhideWhenUsed/>
    <w:qFormat/>
    <w:rPr>
      <w:rFonts w:ascii="宋体" w:hAnsi="Courier New"/>
      <w:szCs w:val="21"/>
    </w:rPr>
  </w:style>
  <w:style w:type="paragraph" w:styleId="953" w:customStyle="1">
    <w:name w:val="批注框文本1"/>
    <w:basedOn w:val="729"/>
    <w:link w:val="954"/>
    <w:uiPriority w:val="0"/>
    <w:qFormat/>
    <w:rPr>
      <w:sz w:val="18"/>
      <w:szCs w:val="18"/>
    </w:rPr>
  </w:style>
  <w:style w:type="character" w:styleId="954" w:customStyle="1">
    <w:name w:val="批注框文本 Char"/>
    <w:link w:val="953"/>
    <w:uiPriority w:val="0"/>
    <w:qFormat/>
    <w:rPr>
      <w:rFonts w:ascii="Calibri" w:hAnsi="Calibri" w:eastAsia="宋体" w:cs="Times New Roman"/>
      <w:sz w:val="18"/>
      <w:szCs w:val="18"/>
    </w:rPr>
  </w:style>
  <w:style w:type="paragraph" w:styleId="955" w:customStyle="1">
    <w:name w:val="页脚1"/>
    <w:basedOn w:val="729"/>
    <w:link w:val="970"/>
    <w:uiPriority w:val="0"/>
    <w:unhideWhenUsed/>
    <w:qFormat/>
    <w:pPr>
      <w:jc w:val="left"/>
      <w:tabs>
        <w:tab w:val="center" w:pos="4153" w:leader="none"/>
        <w:tab w:val="right" w:pos="8306" w:leader="none"/>
      </w:tabs>
    </w:pPr>
    <w:rPr>
      <w:sz w:val="18"/>
      <w:szCs w:val="18"/>
    </w:rPr>
  </w:style>
  <w:style w:type="paragraph" w:styleId="956" w:customStyle="1">
    <w:name w:val="正文文本 21"/>
    <w:basedOn w:val="729"/>
    <w:link w:val="1036"/>
    <w:uiPriority w:val="0"/>
    <w:qFormat/>
    <w:rPr>
      <w:rFonts w:eastAsia="仿宋_GB2312"/>
      <w:sz w:val="24"/>
    </w:rPr>
  </w:style>
  <w:style w:type="paragraph" w:styleId="957" w:customStyle="1">
    <w:name w:val="普通(网站)1"/>
    <w:basedOn w:val="729"/>
    <w:uiPriority w:val="0"/>
    <w:unhideWhenUsed/>
    <w:qFormat/>
    <w:pPr>
      <w:jc w:val="left"/>
      <w:spacing w:before="100" w:beforeAutospacing="1" w:after="100" w:afterAutospacing="1"/>
      <w:widowControl/>
    </w:pPr>
    <w:rPr>
      <w:rFonts w:ascii="宋体" w:hAnsi="宋体" w:cs="宋体"/>
      <w:sz w:val="24"/>
      <w:szCs w:val="24"/>
    </w:rPr>
  </w:style>
  <w:style w:type="paragraph" w:styleId="958" w:customStyle="1">
    <w:name w:val="正文首行缩进1"/>
    <w:basedOn w:val="950"/>
    <w:uiPriority w:val="0"/>
    <w:unhideWhenUsed/>
    <w:qFormat/>
    <w:pPr>
      <w:ind w:firstLine="420"/>
    </w:pPr>
    <w:rPr>
      <w:rFonts w:ascii="Times New Roman" w:hAnsi="Times New Roman"/>
    </w:rPr>
  </w:style>
  <w:style w:type="table" w:styleId="959" w:customStyle="1">
    <w:name w:val="网格型1"/>
    <w:basedOn w:val="949"/>
    <w:uiPriority w:val="0"/>
    <w:qFormat/>
    <w:tblPr>
      <w:tblCellMar>
        <w:left w:w="0" w:type="dxa"/>
        <w:top w:w="0" w:type="dxa"/>
        <w:right w:w="0" w:type="dxa"/>
        <w:bottom w:w="0" w:type="dxa"/>
      </w:tblCellMar>
    </w:tblPr>
  </w:style>
  <w:style w:type="character" w:styleId="960" w:customStyle="1">
    <w:name w:val="超链接1"/>
    <w:uiPriority w:val="0"/>
    <w:unhideWhenUsed/>
    <w:qFormat/>
    <w:rPr>
      <w:color w:val="0000ff"/>
      <w:u w:val="single"/>
    </w:rPr>
  </w:style>
  <w:style w:type="paragraph" w:styleId="96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62" w:customStyle="1">
    <w:name w:val="正文11"/>
    <w:next w:val="963"/>
    <w:uiPriority w:val="0"/>
    <w:qFormat/>
    <w:pPr>
      <w:jc w:val="both"/>
      <w:widowControl w:val="off"/>
    </w:pPr>
    <w:rPr>
      <w:rFonts w:ascii="Times New Roman" w:hAnsi="Times New Roman" w:eastAsia="宋体" w:cs="Times New Roman"/>
      <w:sz w:val="21"/>
      <w:szCs w:val="22"/>
      <w:lang w:val="en-US" w:eastAsia="zh-CN" w:bidi="ar-SA"/>
    </w:rPr>
  </w:style>
  <w:style w:type="paragraph" w:styleId="963" w:customStyle="1">
    <w:name w:val="目录 11"/>
    <w:basedOn w:val="962"/>
    <w:next w:val="962"/>
    <w:uiPriority w:val="0"/>
    <w:qFormat/>
    <w:pPr>
      <w:spacing w:line="360" w:lineRule="auto"/>
      <w:tabs>
        <w:tab w:val="right" w:pos="9060" w:leader="dot"/>
      </w:tabs>
    </w:pPr>
    <w:rPr>
      <w:rFonts w:ascii="Calibri" w:hAnsi="Calibri"/>
      <w:sz w:val="24"/>
      <w:szCs w:val="24"/>
    </w:rPr>
  </w:style>
  <w:style w:type="character" w:styleId="964" w:customStyle="1">
    <w:name w:val="font31"/>
    <w:uiPriority w:val="0"/>
    <w:qFormat/>
    <w:rPr>
      <w:rFonts w:hint="eastAsia" w:ascii="宋体" w:hAnsi="宋体" w:eastAsia="宋体" w:cs="宋体"/>
      <w:color w:val="000000"/>
      <w:sz w:val="24"/>
      <w:szCs w:val="24"/>
      <w:u w:val="none"/>
    </w:rPr>
  </w:style>
  <w:style w:type="paragraph" w:styleId="965" w:customStyle="1">
    <w:name w:val="普通正文"/>
    <w:basedOn w:val="729"/>
    <w:uiPriority w:val="0"/>
    <w:qFormat/>
    <w:pPr>
      <w:ind w:firstLine="480"/>
      <w:jc w:val="left"/>
      <w:spacing w:before="120" w:after="120" w:line="360" w:lineRule="auto"/>
    </w:pPr>
    <w:rPr>
      <w:rFonts w:ascii="Arial" w:hAnsi="Arial" w:cs="Arial"/>
      <w:sz w:val="24"/>
      <w:szCs w:val="24"/>
    </w:rPr>
  </w:style>
  <w:style w:type="paragraph" w:styleId="966" w:customStyle="1">
    <w:name w:val="纯文本1"/>
    <w:basedOn w:val="729"/>
    <w:uiPriority w:val="0"/>
    <w:qFormat/>
    <w:pPr>
      <w:ind w:firstLine="720"/>
    </w:pPr>
    <w:rPr>
      <w:rFonts w:ascii="宋体" w:hAnsi="Courier New"/>
    </w:rPr>
  </w:style>
  <w:style w:type="paragraph" w:styleId="967" w:customStyle="1">
    <w:name w:val="正文文本缩进1"/>
    <w:basedOn w:val="729"/>
    <w:next w:val="729"/>
    <w:link w:val="1019"/>
    <w:uiPriority w:val="99"/>
    <w:qFormat/>
    <w:pPr>
      <w:ind w:firstLine="630"/>
    </w:pPr>
    <w:rPr>
      <w:sz w:val="20"/>
      <w:szCs w:val="20"/>
    </w:rPr>
  </w:style>
  <w:style w:type="paragraph" w:styleId="968" w:customStyle="1">
    <w:name w:val="页眉1"/>
    <w:basedOn w:val="729"/>
    <w:link w:val="969"/>
    <w:uiPriority w:val="0"/>
    <w:qFormat/>
    <w:pPr>
      <w:jc w:val="center"/>
      <w:tabs>
        <w:tab w:val="center" w:pos="4153" w:leader="none"/>
        <w:tab w:val="right" w:pos="8306" w:leader="none"/>
      </w:tabs>
      <w:pBdr>
        <w:bottom w:val="single" w:color="000000" w:sz="6" w:space="1"/>
      </w:pBdr>
    </w:pPr>
    <w:rPr>
      <w:sz w:val="18"/>
      <w:szCs w:val="18"/>
    </w:rPr>
  </w:style>
  <w:style w:type="character" w:styleId="969" w:customStyle="1">
    <w:name w:val="页眉 Char"/>
    <w:link w:val="968"/>
    <w:uiPriority w:val="0"/>
    <w:qFormat/>
    <w:rPr>
      <w:sz w:val="18"/>
      <w:szCs w:val="18"/>
    </w:rPr>
  </w:style>
  <w:style w:type="character" w:styleId="970" w:customStyle="1">
    <w:name w:val="页脚 Char"/>
    <w:link w:val="955"/>
    <w:uiPriority w:val="0"/>
    <w:qFormat/>
    <w:rPr>
      <w:sz w:val="18"/>
      <w:szCs w:val="18"/>
    </w:rPr>
  </w:style>
  <w:style w:type="character" w:styleId="971" w:customStyle="1">
    <w:name w:val="页码1"/>
    <w:basedOn w:val="948"/>
    <w:uiPriority w:val="0"/>
    <w:qFormat/>
  </w:style>
  <w:style w:type="paragraph" w:styleId="972" w:customStyle="1">
    <w:name w:val="段"/>
    <w:next w:val="729"/>
    <w:uiPriority w:val="0"/>
    <w:qFormat/>
    <w:pPr>
      <w:ind w:firstLine="200"/>
      <w:jc w:val="both"/>
      <w:spacing w:line="360" w:lineRule="auto"/>
    </w:pPr>
    <w:rPr>
      <w:rFonts w:ascii="宋体" w:hAnsi="Times New Roman" w:eastAsia="宋体" w:cs="Times New Roman"/>
      <w:sz w:val="21"/>
      <w:lang w:val="en-US" w:eastAsia="zh-CN" w:bidi="ar-SA"/>
    </w:rPr>
  </w:style>
  <w:style w:type="character" w:styleId="973" w:customStyle="1">
    <w:name w:val="*正文 Char Char"/>
    <w:uiPriority w:val="0"/>
    <w:qFormat/>
    <w:rPr>
      <w:rFonts w:hint="default" w:ascii="Times New Roman" w:hAnsi="Times New Roman" w:eastAsia="宋体" w:cs="Times New Roman"/>
      <w:sz w:val="21"/>
      <w:szCs w:val="24"/>
      <w:lang w:val="en-US" w:eastAsia="zh-CN" w:bidi="ar-SA"/>
    </w:rPr>
  </w:style>
  <w:style w:type="paragraph" w:styleId="974" w:customStyle="1">
    <w:name w:val="Table Paragraph"/>
    <w:basedOn w:val="729"/>
    <w:uiPriority w:val="0"/>
    <w:qFormat/>
    <w:pPr>
      <w:ind w:firstLine="720"/>
    </w:pPr>
    <w:rPr>
      <w:sz w:val="22"/>
    </w:rPr>
  </w:style>
  <w:style w:type="character" w:styleId="975" w:customStyle="1">
    <w:name w:val="批注框文本 Char1"/>
    <w:basedOn w:val="739"/>
    <w:link w:val="752"/>
    <w:uiPriority w:val="99"/>
    <w:semiHidden/>
    <w:qFormat/>
    <w:rPr>
      <w:rFonts w:ascii="Calibri" w:hAnsi="Calibri"/>
      <w:sz w:val="18"/>
      <w:szCs w:val="18"/>
    </w:rPr>
  </w:style>
  <w:style w:type="character" w:styleId="976" w:customStyle="1">
    <w:name w:val="正文文本 Char"/>
    <w:basedOn w:val="739"/>
    <w:link w:val="741"/>
    <w:uiPriority w:val="0"/>
    <w:qFormat/>
    <w:rPr>
      <w:rFonts w:ascii="Calibri" w:hAnsi="Calibri"/>
      <w:sz w:val="21"/>
      <w:szCs w:val="22"/>
    </w:rPr>
  </w:style>
  <w:style w:type="character" w:styleId="977" w:customStyle="1">
    <w:name w:val="正文首行缩进 Char"/>
    <w:basedOn w:val="976"/>
    <w:link w:val="742"/>
    <w:uiPriority w:val="0"/>
    <w:qFormat/>
    <w:rPr>
      <w:rFonts w:asciiTheme="minorHAnsi" w:hAnsiTheme="minorHAnsi" w:eastAsiaTheme="minorEastAsia" w:cstheme="minorBidi"/>
      <w:sz w:val="21"/>
      <w:szCs w:val="22"/>
    </w:rPr>
  </w:style>
  <w:style w:type="character" w:styleId="978" w:customStyle="1">
    <w:name w:val="纯文本 Char"/>
    <w:basedOn w:val="739"/>
    <w:link w:val="749"/>
    <w:uiPriority w:val="0"/>
    <w:qFormat/>
    <w:rPr>
      <w:rFonts w:ascii="宋体" w:hAnsi="Courier New"/>
      <w:sz w:val="21"/>
      <w:szCs w:val="21"/>
      <w:lang w:val="zh-CN"/>
    </w:rPr>
  </w:style>
  <w:style w:type="character" w:styleId="979" w:customStyle="1">
    <w:name w:val="批注文字 Char"/>
    <w:basedOn w:val="739"/>
    <w:link w:val="980"/>
    <w:uiPriority w:val="99"/>
    <w:semiHidden/>
    <w:qFormat/>
    <w:rPr>
      <w:rFonts w:ascii="Calibri" w:hAnsi="Calibri"/>
      <w:sz w:val="21"/>
      <w:szCs w:val="22"/>
    </w:rPr>
  </w:style>
  <w:style w:type="paragraph" w:styleId="980" w:customStyle="1">
    <w:name w:val="批注文字1"/>
    <w:basedOn w:val="729"/>
    <w:link w:val="979"/>
    <w:uiPriority w:val="0"/>
    <w:unhideWhenUsed/>
    <w:qFormat/>
    <w:pPr>
      <w:jc w:val="left"/>
    </w:pPr>
  </w:style>
  <w:style w:type="character" w:styleId="981" w:customStyle="1">
    <w:name w:val="批注文字 Char1"/>
    <w:link w:val="745"/>
    <w:uiPriority w:val="99"/>
    <w:qFormat/>
    <w:rPr>
      <w:rFonts w:ascii="Calibri" w:hAnsi="Calibri" w:cs="Calibri"/>
      <w:sz w:val="21"/>
      <w:szCs w:val="21"/>
    </w:rPr>
  </w:style>
  <w:style w:type="character" w:styleId="982" w:customStyle="1">
    <w:name w:val="批注框文本 字符"/>
    <w:uiPriority w:val="0"/>
    <w:qFormat/>
    <w:rPr>
      <w:rFonts w:ascii="Times New Roman" w:hAnsi="Times New Roman" w:eastAsia="宋体" w:cs="Times New Roman"/>
      <w:sz w:val="18"/>
      <w:szCs w:val="18"/>
    </w:rPr>
  </w:style>
  <w:style w:type="character" w:styleId="983" w:customStyle="1">
    <w:name w:val="HTML 预设格式 Char"/>
    <w:basedOn w:val="739"/>
    <w:link w:val="763"/>
    <w:uiPriority w:val="0"/>
    <w:qFormat/>
    <w:rPr>
      <w:rFonts w:ascii="宋体" w:hAnsi="宋体"/>
      <w:sz w:val="24"/>
      <w:szCs w:val="24"/>
    </w:rPr>
  </w:style>
  <w:style w:type="character" w:styleId="984" w:customStyle="1">
    <w:name w:val="批注主题 Char"/>
    <w:basedOn w:val="979"/>
    <w:link w:val="985"/>
    <w:uiPriority w:val="0"/>
    <w:semiHidden/>
    <w:qFormat/>
    <w:rPr>
      <w:rFonts w:ascii="Calibri" w:hAnsi="Calibri"/>
      <w:b/>
      <w:bCs/>
      <w:sz w:val="21"/>
      <w:szCs w:val="22"/>
    </w:rPr>
  </w:style>
  <w:style w:type="paragraph" w:styleId="985" w:customStyle="1">
    <w:name w:val="批注主题1"/>
    <w:basedOn w:val="980"/>
    <w:next w:val="980"/>
    <w:link w:val="984"/>
    <w:uiPriority w:val="0"/>
    <w:semiHidden/>
    <w:qFormat/>
    <w:rPr>
      <w:b/>
      <w:bCs/>
    </w:rPr>
  </w:style>
  <w:style w:type="character" w:styleId="986" w:customStyle="1">
    <w:name w:val="批注主题 Char1"/>
    <w:link w:val="766"/>
    <w:uiPriority w:val="99"/>
    <w:qFormat/>
    <w:rPr>
      <w:rFonts w:ascii="Calibri" w:hAnsi="Calibri" w:cs="Calibri"/>
      <w:b/>
      <w:bCs/>
      <w:sz w:val="21"/>
      <w:szCs w:val="21"/>
    </w:rPr>
  </w:style>
  <w:style w:type="table" w:styleId="987" w:customStyle="1">
    <w:name w:val="Table Normal"/>
    <w:uiPriority w:val="0"/>
    <w:unhideWhenUsed/>
    <w:qFormat/>
    <w:tblPr>
      <w:tblCellMar>
        <w:left w:w="0" w:type="dxa"/>
        <w:top w:w="0" w:type="dxa"/>
        <w:right w:w="0" w:type="dxa"/>
        <w:bottom w:w="0" w:type="dxa"/>
      </w:tblCellMar>
    </w:tblPr>
  </w:style>
  <w:style w:type="paragraph" w:styleId="988" w:customStyle="1">
    <w:name w:val="_Style 237"/>
    <w:basedOn w:val="729"/>
    <w:next w:val="804"/>
    <w:uiPriority w:val="0"/>
    <w:qFormat/>
    <w:pPr>
      <w:ind w:firstLine="420"/>
    </w:pPr>
    <w:rPr>
      <w:szCs w:val="20"/>
    </w:rPr>
  </w:style>
  <w:style w:type="paragraph" w:styleId="989" w:customStyle="1">
    <w:name w:val="_Style 238"/>
    <w:basedOn w:val="729"/>
    <w:next w:val="804"/>
    <w:uiPriority w:val="0"/>
    <w:qFormat/>
    <w:pPr>
      <w:ind w:firstLine="420"/>
    </w:pPr>
    <w:rPr>
      <w:szCs w:val="20"/>
    </w:rPr>
  </w:style>
  <w:style w:type="character" w:styleId="990" w:customStyle="1">
    <w:name w:val="批注文字 字符"/>
    <w:uiPriority w:val="0"/>
    <w:qFormat/>
    <w:rPr>
      <w:rFonts w:ascii="Times New Roman" w:hAnsi="Times New Roman" w:eastAsia="宋体" w:cs="Times New Roman"/>
      <w:sz w:val="21"/>
      <w:szCs w:val="24"/>
    </w:rPr>
  </w:style>
  <w:style w:type="character" w:styleId="991" w:customStyle="1">
    <w:name w:val="批注主题 字符"/>
    <w:uiPriority w:val="0"/>
    <w:qFormat/>
    <w:rPr>
      <w:rFonts w:ascii="Times New Roman" w:hAnsi="Times New Roman" w:eastAsia="宋体" w:cs="Times New Roman"/>
      <w:b/>
      <w:bCs/>
      <w:sz w:val="21"/>
      <w:szCs w:val="24"/>
    </w:rPr>
  </w:style>
  <w:style w:type="table" w:styleId="992" w:customStyle="1">
    <w:name w:val="网格型2"/>
    <w:basedOn w:val="7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3" w:customStyle="1">
    <w:name w:val="_Style 242"/>
    <w:basedOn w:val="729"/>
    <w:next w:val="804"/>
    <w:uiPriority w:val="0"/>
    <w:qFormat/>
    <w:pPr>
      <w:ind w:firstLine="420"/>
    </w:pPr>
    <w:rPr>
      <w:szCs w:val="20"/>
    </w:rPr>
  </w:style>
  <w:style w:type="table" w:styleId="994" w:customStyle="1">
    <w:name w:val="网格型3"/>
    <w:basedOn w:val="7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5" w:customStyle="1">
    <w:name w:val="_Style 244"/>
    <w:basedOn w:val="729"/>
    <w:next w:val="804"/>
    <w:uiPriority w:val="0"/>
    <w:qFormat/>
    <w:pPr>
      <w:ind w:firstLine="420"/>
    </w:pPr>
    <w:rPr>
      <w:szCs w:val="20"/>
    </w:rPr>
  </w:style>
  <w:style w:type="paragraph" w:styleId="996" w:customStyle="1">
    <w:name w:val="列出段落1"/>
    <w:basedOn w:val="729"/>
    <w:link w:val="1044"/>
    <w:uiPriority w:val="0"/>
    <w:unhideWhenUsed/>
    <w:qFormat/>
    <w:pPr>
      <w:ind w:firstLine="420"/>
    </w:pPr>
    <w:rPr>
      <w:szCs w:val="24"/>
    </w:rPr>
  </w:style>
  <w:style w:type="character" w:styleId="997" w:customStyle="1">
    <w:name w:val="正文首行缩进 2 Char"/>
    <w:link w:val="775"/>
    <w:uiPriority w:val="0"/>
    <w:qFormat/>
    <w:rPr>
      <w:rFonts w:ascii="宋体" w:hAnsi="宋体"/>
      <w:sz w:val="21"/>
    </w:rPr>
  </w:style>
  <w:style w:type="character" w:styleId="998" w:customStyle="1">
    <w:name w:val="标题 1 Char1"/>
    <w:uiPriority w:val="9"/>
    <w:qFormat/>
    <w:rPr>
      <w:rFonts w:ascii="Arial" w:hAnsi="Arial" w:eastAsia="Arial" w:cs="Arial"/>
      <w:sz w:val="40"/>
      <w:szCs w:val="40"/>
    </w:rPr>
  </w:style>
  <w:style w:type="character" w:styleId="999" w:customStyle="1">
    <w:name w:val="标题 2 Char1"/>
    <w:uiPriority w:val="9"/>
    <w:qFormat/>
    <w:rPr>
      <w:rFonts w:ascii="Arial" w:hAnsi="Arial" w:eastAsia="Arial" w:cs="Arial"/>
      <w:sz w:val="34"/>
    </w:rPr>
  </w:style>
  <w:style w:type="character" w:styleId="1000" w:customStyle="1">
    <w:name w:val="标题 3 Char1"/>
    <w:uiPriority w:val="9"/>
    <w:qFormat/>
    <w:rPr>
      <w:rFonts w:ascii="Arial" w:hAnsi="Arial" w:eastAsia="Arial" w:cs="Arial"/>
      <w:sz w:val="30"/>
      <w:szCs w:val="30"/>
    </w:rPr>
  </w:style>
  <w:style w:type="character" w:styleId="1001" w:customStyle="1">
    <w:name w:val="标题 4 Char1"/>
    <w:uiPriority w:val="9"/>
    <w:qFormat/>
    <w:rPr>
      <w:rFonts w:ascii="Arial" w:hAnsi="Arial" w:eastAsia="Arial" w:cs="Arial"/>
      <w:b/>
      <w:bCs/>
      <w:sz w:val="26"/>
      <w:szCs w:val="26"/>
    </w:rPr>
  </w:style>
  <w:style w:type="character" w:styleId="1002" w:customStyle="1">
    <w:name w:val="标题 5 Char1"/>
    <w:uiPriority w:val="9"/>
    <w:qFormat/>
    <w:rPr>
      <w:rFonts w:ascii="Arial" w:hAnsi="Arial" w:eastAsia="Arial" w:cs="Arial"/>
      <w:b/>
      <w:bCs/>
      <w:sz w:val="24"/>
      <w:szCs w:val="24"/>
    </w:rPr>
  </w:style>
  <w:style w:type="character" w:styleId="1003" w:customStyle="1">
    <w:name w:val="标题 6 Char1"/>
    <w:uiPriority w:val="9"/>
    <w:qFormat/>
    <w:rPr>
      <w:rFonts w:ascii="Arial" w:hAnsi="Arial" w:eastAsia="Arial" w:cs="Arial"/>
      <w:b/>
      <w:bCs/>
      <w:sz w:val="22"/>
      <w:szCs w:val="22"/>
    </w:rPr>
  </w:style>
  <w:style w:type="character" w:styleId="1004" w:customStyle="1">
    <w:name w:val="标题 7 Char1"/>
    <w:uiPriority w:val="9"/>
    <w:qFormat/>
    <w:rPr>
      <w:rFonts w:ascii="Arial" w:hAnsi="Arial" w:eastAsia="Arial" w:cs="Arial"/>
      <w:b/>
      <w:bCs/>
      <w:i/>
      <w:iCs/>
      <w:sz w:val="22"/>
      <w:szCs w:val="22"/>
    </w:rPr>
  </w:style>
  <w:style w:type="character" w:styleId="1005" w:customStyle="1">
    <w:name w:val="标题 8 Char1"/>
    <w:uiPriority w:val="9"/>
    <w:qFormat/>
    <w:rPr>
      <w:rFonts w:ascii="Arial" w:hAnsi="Arial" w:eastAsia="Arial" w:cs="Arial"/>
      <w:i/>
      <w:iCs/>
      <w:sz w:val="22"/>
      <w:szCs w:val="22"/>
    </w:rPr>
  </w:style>
  <w:style w:type="character" w:styleId="1006" w:customStyle="1">
    <w:name w:val="标题 9 Char1"/>
    <w:uiPriority w:val="9"/>
    <w:qFormat/>
    <w:rPr>
      <w:rFonts w:ascii="Arial" w:hAnsi="Arial" w:eastAsia="Arial" w:cs="Arial"/>
      <w:i/>
      <w:iCs/>
      <w:sz w:val="21"/>
      <w:szCs w:val="21"/>
    </w:rPr>
  </w:style>
  <w:style w:type="paragraph" w:styleId="1007" w:customStyle="1">
    <w:name w:val="标题 51"/>
    <w:basedOn w:val="729"/>
    <w:next w:val="945"/>
    <w:uiPriority w:val="0"/>
    <w:qFormat/>
    <w:pPr>
      <w:keepNext/>
      <w:outlineLvl w:val="4"/>
    </w:pPr>
    <w:rPr>
      <w:rFonts w:ascii="宋体" w:hAnsi="Times New Roman"/>
      <w:color w:val="000000"/>
      <w:sz w:val="28"/>
      <w:szCs w:val="28"/>
    </w:rPr>
  </w:style>
  <w:style w:type="paragraph" w:styleId="1008" w:customStyle="1">
    <w:name w:val="标题 61"/>
    <w:basedOn w:val="729"/>
    <w:next w:val="729"/>
    <w:uiPriority w:val="0"/>
    <w:qFormat/>
    <w:pPr>
      <w:keepLines/>
      <w:keepNext/>
      <w:spacing w:before="240" w:after="64" w:line="320" w:lineRule="auto"/>
      <w:outlineLvl w:val="5"/>
    </w:pPr>
    <w:rPr>
      <w:rFonts w:ascii="Arial" w:hAnsi="Arial" w:eastAsia="黑体"/>
      <w:b/>
      <w:bCs/>
      <w:sz w:val="24"/>
      <w:szCs w:val="24"/>
    </w:rPr>
  </w:style>
  <w:style w:type="paragraph" w:styleId="1009" w:customStyle="1">
    <w:name w:val="标题 71"/>
    <w:basedOn w:val="729"/>
    <w:next w:val="729"/>
    <w:uiPriority w:val="0"/>
    <w:qFormat/>
    <w:pPr>
      <w:keepLines/>
      <w:keepNext/>
      <w:spacing w:before="240" w:after="64" w:line="320" w:lineRule="auto"/>
      <w:outlineLvl w:val="6"/>
    </w:pPr>
    <w:rPr>
      <w:rFonts w:ascii="Times New Roman" w:hAnsi="Times New Roman"/>
      <w:b/>
      <w:bCs/>
      <w:sz w:val="24"/>
      <w:szCs w:val="24"/>
    </w:rPr>
  </w:style>
  <w:style w:type="paragraph" w:styleId="1010" w:customStyle="1">
    <w:name w:val="标题 81"/>
    <w:basedOn w:val="729"/>
    <w:next w:val="729"/>
    <w:uiPriority w:val="0"/>
    <w:qFormat/>
    <w:pPr>
      <w:keepLines/>
      <w:keepNext/>
      <w:spacing w:before="240" w:after="64" w:line="320" w:lineRule="auto"/>
      <w:outlineLvl w:val="7"/>
    </w:pPr>
    <w:rPr>
      <w:rFonts w:ascii="Arial" w:hAnsi="Arial" w:eastAsia="黑体"/>
      <w:sz w:val="24"/>
      <w:szCs w:val="24"/>
    </w:rPr>
  </w:style>
  <w:style w:type="paragraph" w:styleId="1011" w:customStyle="1">
    <w:name w:val="标题 91"/>
    <w:basedOn w:val="729"/>
    <w:next w:val="729"/>
    <w:uiPriority w:val="0"/>
    <w:qFormat/>
    <w:pPr>
      <w:keepLines/>
      <w:keepNext/>
      <w:spacing w:before="240" w:after="64" w:line="320" w:lineRule="auto"/>
      <w:outlineLvl w:val="8"/>
    </w:pPr>
    <w:rPr>
      <w:rFonts w:ascii="Arial" w:hAnsi="Arial" w:eastAsia="黑体"/>
      <w:szCs w:val="21"/>
    </w:rPr>
  </w:style>
  <w:style w:type="character" w:styleId="1012" w:customStyle="1">
    <w:name w:val="正文缩进 Char"/>
    <w:link w:val="945"/>
    <w:uiPriority w:val="0"/>
    <w:qFormat/>
    <w:rPr>
      <w:sz w:val="21"/>
      <w:szCs w:val="21"/>
    </w:rPr>
  </w:style>
  <w:style w:type="paragraph" w:styleId="1013" w:customStyle="1">
    <w:name w:val="列表 31"/>
    <w:basedOn w:val="729"/>
    <w:uiPriority w:val="0"/>
    <w:qFormat/>
    <w:pPr>
      <w:ind w:left="100" w:hanging="200"/>
    </w:pPr>
    <w:rPr>
      <w:rFonts w:ascii="Times New Roman" w:hAnsi="Times New Roman"/>
      <w:szCs w:val="21"/>
    </w:rPr>
  </w:style>
  <w:style w:type="paragraph" w:styleId="1014" w:customStyle="1">
    <w:name w:val="目录 71"/>
    <w:basedOn w:val="729"/>
    <w:next w:val="729"/>
    <w:uiPriority w:val="0"/>
    <w:semiHidden/>
    <w:qFormat/>
    <w:pPr>
      <w:ind w:left="1260"/>
      <w:jc w:val="left"/>
    </w:pPr>
    <w:rPr>
      <w:rFonts w:ascii="Times New Roman" w:hAnsi="Times New Roman"/>
      <w:szCs w:val="21"/>
    </w:rPr>
  </w:style>
  <w:style w:type="paragraph" w:styleId="1015" w:customStyle="1">
    <w:name w:val="文档结构图1"/>
    <w:basedOn w:val="729"/>
    <w:link w:val="1016"/>
    <w:uiPriority w:val="0"/>
    <w:semiHidden/>
    <w:qFormat/>
    <w:pPr>
      <w:shd w:val="clear" w:color="auto" w:fill="000080"/>
    </w:pPr>
    <w:rPr>
      <w:rFonts w:ascii="Times New Roman" w:hAnsi="Times New Roman"/>
      <w:szCs w:val="21"/>
    </w:rPr>
  </w:style>
  <w:style w:type="character" w:styleId="1016" w:customStyle="1">
    <w:name w:val="文档结构图 Char"/>
    <w:link w:val="1015"/>
    <w:uiPriority w:val="0"/>
    <w:semiHidden/>
    <w:qFormat/>
    <w:rPr>
      <w:sz w:val="21"/>
      <w:szCs w:val="21"/>
      <w:shd w:val="clear" w:color="auto" w:fill="000080"/>
    </w:rPr>
  </w:style>
  <w:style w:type="paragraph" w:styleId="1017" w:customStyle="1">
    <w:name w:val="正文文本 31"/>
    <w:basedOn w:val="729"/>
    <w:link w:val="1018"/>
    <w:uiPriority w:val="0"/>
    <w:qFormat/>
    <w:rPr>
      <w:rFonts w:ascii="仿宋_GB2312" w:hAnsi="Arial" w:eastAsia="仿宋_GB2312"/>
      <w:sz w:val="32"/>
      <w:szCs w:val="32"/>
    </w:rPr>
  </w:style>
  <w:style w:type="character" w:styleId="1018" w:customStyle="1">
    <w:name w:val="正文文本 3 Char"/>
    <w:link w:val="1017"/>
    <w:uiPriority w:val="0"/>
    <w:qFormat/>
    <w:rPr>
      <w:rFonts w:ascii="仿宋_GB2312" w:hAnsi="Arial" w:eastAsia="仿宋_GB2312"/>
      <w:sz w:val="32"/>
      <w:szCs w:val="32"/>
    </w:rPr>
  </w:style>
  <w:style w:type="character" w:styleId="1019" w:customStyle="1">
    <w:name w:val="正文文本缩进 Char"/>
    <w:link w:val="967"/>
    <w:uiPriority w:val="99"/>
    <w:qFormat/>
    <w:rPr>
      <w:rFonts w:ascii="Calibri" w:hAnsi="Calibri"/>
    </w:rPr>
  </w:style>
  <w:style w:type="paragraph" w:styleId="1020" w:customStyle="1">
    <w:name w:val="列表 21"/>
    <w:basedOn w:val="729"/>
    <w:uiPriority w:val="0"/>
    <w:qFormat/>
    <w:pPr>
      <w:ind w:left="100" w:hanging="200"/>
    </w:pPr>
    <w:rPr>
      <w:rFonts w:ascii="Times New Roman" w:hAnsi="Times New Roman"/>
      <w:szCs w:val="21"/>
    </w:rPr>
  </w:style>
  <w:style w:type="paragraph" w:styleId="1021" w:customStyle="1">
    <w:name w:val="目录 51"/>
    <w:basedOn w:val="729"/>
    <w:next w:val="729"/>
    <w:uiPriority w:val="0"/>
    <w:semiHidden/>
    <w:qFormat/>
    <w:pPr>
      <w:ind w:left="840"/>
      <w:jc w:val="left"/>
    </w:pPr>
    <w:rPr>
      <w:rFonts w:ascii="Times New Roman" w:hAnsi="Times New Roman"/>
      <w:szCs w:val="21"/>
    </w:rPr>
  </w:style>
  <w:style w:type="paragraph" w:styleId="1022" w:customStyle="1">
    <w:name w:val="目录 31"/>
    <w:basedOn w:val="729"/>
    <w:next w:val="729"/>
    <w:uiPriority w:val="0"/>
    <w:semiHidden/>
    <w:qFormat/>
    <w:pPr>
      <w:ind w:left="420"/>
      <w:jc w:val="left"/>
    </w:pPr>
    <w:rPr>
      <w:rFonts w:ascii="Times New Roman" w:hAnsi="Times New Roman"/>
      <w:i/>
      <w:iCs/>
      <w:szCs w:val="24"/>
    </w:rPr>
  </w:style>
  <w:style w:type="paragraph" w:styleId="1023" w:customStyle="1">
    <w:name w:val="目录 81"/>
    <w:basedOn w:val="729"/>
    <w:next w:val="729"/>
    <w:uiPriority w:val="0"/>
    <w:semiHidden/>
    <w:qFormat/>
    <w:pPr>
      <w:ind w:left="1470"/>
      <w:jc w:val="left"/>
    </w:pPr>
    <w:rPr>
      <w:rFonts w:ascii="Times New Roman" w:hAnsi="Times New Roman"/>
      <w:szCs w:val="21"/>
    </w:rPr>
  </w:style>
  <w:style w:type="paragraph" w:styleId="1024" w:customStyle="1">
    <w:name w:val="日期1"/>
    <w:basedOn w:val="729"/>
    <w:next w:val="729"/>
    <w:link w:val="1025"/>
    <w:uiPriority w:val="0"/>
    <w:qFormat/>
    <w:rPr>
      <w:rFonts w:ascii="Times New Roman" w:hAnsi="Times New Roman"/>
      <w:sz w:val="24"/>
      <w:szCs w:val="24"/>
    </w:rPr>
  </w:style>
  <w:style w:type="character" w:styleId="1025" w:customStyle="1">
    <w:name w:val="日期 Char"/>
    <w:link w:val="1024"/>
    <w:uiPriority w:val="0"/>
    <w:qFormat/>
    <w:rPr>
      <w:sz w:val="24"/>
      <w:szCs w:val="24"/>
    </w:rPr>
  </w:style>
  <w:style w:type="paragraph" w:styleId="1026" w:customStyle="1">
    <w:name w:val="正文文本缩进 21"/>
    <w:basedOn w:val="729"/>
    <w:link w:val="1027"/>
    <w:uiPriority w:val="0"/>
    <w:qFormat/>
    <w:pPr>
      <w:ind w:left="630" w:firstLine="645"/>
    </w:pPr>
    <w:rPr>
      <w:rFonts w:ascii="Arial" w:hAnsi="Arial" w:eastAsia="仿宋_GB2312" w:cs="Arial"/>
      <w:sz w:val="32"/>
      <w:szCs w:val="32"/>
    </w:rPr>
  </w:style>
  <w:style w:type="character" w:styleId="1027" w:customStyle="1">
    <w:name w:val="正文文本缩进 2 Char"/>
    <w:link w:val="1026"/>
    <w:uiPriority w:val="0"/>
    <w:qFormat/>
    <w:rPr>
      <w:rFonts w:ascii="Arial" w:hAnsi="Arial" w:eastAsia="仿宋_GB2312" w:cs="Arial"/>
      <w:sz w:val="32"/>
      <w:szCs w:val="32"/>
    </w:rPr>
  </w:style>
  <w:style w:type="paragraph" w:styleId="1028" w:customStyle="1">
    <w:name w:val="目录 41"/>
    <w:basedOn w:val="729"/>
    <w:next w:val="729"/>
    <w:uiPriority w:val="0"/>
    <w:semiHidden/>
    <w:qFormat/>
    <w:pPr>
      <w:ind w:left="630"/>
      <w:jc w:val="left"/>
    </w:pPr>
    <w:rPr>
      <w:rFonts w:ascii="Times New Roman" w:hAnsi="Times New Roman"/>
      <w:szCs w:val="21"/>
    </w:rPr>
  </w:style>
  <w:style w:type="paragraph" w:styleId="1029" w:customStyle="1">
    <w:name w:val="列表1"/>
    <w:basedOn w:val="729"/>
    <w:uiPriority w:val="0"/>
    <w:qFormat/>
    <w:pPr>
      <w:ind w:left="200" w:hanging="200"/>
    </w:pPr>
    <w:rPr>
      <w:rFonts w:ascii="Times New Roman" w:hAnsi="Times New Roman"/>
      <w:szCs w:val="21"/>
    </w:rPr>
  </w:style>
  <w:style w:type="paragraph" w:styleId="1030" w:customStyle="1">
    <w:name w:val="目录 61"/>
    <w:basedOn w:val="729"/>
    <w:next w:val="729"/>
    <w:uiPriority w:val="0"/>
    <w:semiHidden/>
    <w:qFormat/>
    <w:pPr>
      <w:ind w:left="1050"/>
      <w:jc w:val="left"/>
    </w:pPr>
    <w:rPr>
      <w:rFonts w:ascii="Times New Roman" w:hAnsi="Times New Roman"/>
      <w:szCs w:val="21"/>
    </w:rPr>
  </w:style>
  <w:style w:type="paragraph" w:styleId="1031" w:customStyle="1">
    <w:name w:val="正文文本缩进 31"/>
    <w:basedOn w:val="729"/>
    <w:link w:val="1032"/>
    <w:uiPriority w:val="0"/>
    <w:qFormat/>
    <w:pPr>
      <w:ind w:left="645" w:firstLine="645"/>
    </w:pPr>
    <w:rPr>
      <w:rFonts w:ascii="Arial" w:hAnsi="Arial" w:eastAsia="仿宋_GB2312" w:cs="Arial"/>
      <w:color w:val="ffff00"/>
      <w:sz w:val="32"/>
      <w:szCs w:val="32"/>
    </w:rPr>
  </w:style>
  <w:style w:type="character" w:styleId="1032" w:customStyle="1">
    <w:name w:val="正文文本缩进 3 Char"/>
    <w:link w:val="1031"/>
    <w:uiPriority w:val="0"/>
    <w:qFormat/>
    <w:rPr>
      <w:rFonts w:ascii="Arial" w:hAnsi="Arial" w:eastAsia="仿宋_GB2312" w:cs="Arial"/>
      <w:color w:val="ffff00"/>
      <w:sz w:val="32"/>
      <w:szCs w:val="32"/>
    </w:rPr>
  </w:style>
  <w:style w:type="paragraph" w:styleId="1033" w:customStyle="1">
    <w:name w:val="图表目录1"/>
    <w:basedOn w:val="729"/>
    <w:next w:val="729"/>
    <w:uiPriority w:val="0"/>
    <w:semiHidden/>
    <w:qFormat/>
    <w:pPr>
      <w:ind w:left="840" w:hanging="420"/>
    </w:pPr>
    <w:rPr>
      <w:rFonts w:ascii="Times New Roman" w:hAnsi="Times New Roman"/>
      <w:szCs w:val="21"/>
    </w:rPr>
  </w:style>
  <w:style w:type="paragraph" w:styleId="1034" w:customStyle="1">
    <w:name w:val="目录 21"/>
    <w:basedOn w:val="729"/>
    <w:next w:val="729"/>
    <w:uiPriority w:val="0"/>
    <w:semiHidden/>
    <w:qFormat/>
    <w:pPr>
      <w:ind w:left="210"/>
      <w:jc w:val="left"/>
    </w:pPr>
    <w:rPr>
      <w:rFonts w:ascii="Times New Roman" w:hAnsi="Times New Roman"/>
      <w:smallCaps/>
      <w:szCs w:val="24"/>
    </w:rPr>
  </w:style>
  <w:style w:type="paragraph" w:styleId="1035" w:customStyle="1">
    <w:name w:val="目录 91"/>
    <w:basedOn w:val="729"/>
    <w:next w:val="729"/>
    <w:uiPriority w:val="0"/>
    <w:semiHidden/>
    <w:qFormat/>
    <w:pPr>
      <w:ind w:left="1680"/>
      <w:jc w:val="left"/>
    </w:pPr>
    <w:rPr>
      <w:rFonts w:ascii="Times New Roman" w:hAnsi="Times New Roman"/>
      <w:szCs w:val="21"/>
    </w:rPr>
  </w:style>
  <w:style w:type="character" w:styleId="1036" w:customStyle="1">
    <w:name w:val="正文文本 2 Char"/>
    <w:link w:val="956"/>
    <w:uiPriority w:val="0"/>
    <w:qFormat/>
    <w:rPr>
      <w:rFonts w:ascii="Calibri" w:hAnsi="Calibri" w:eastAsia="仿宋_GB2312"/>
      <w:sz w:val="24"/>
      <w:szCs w:val="22"/>
    </w:rPr>
  </w:style>
  <w:style w:type="paragraph" w:styleId="1037" w:customStyle="1">
    <w:name w:val="索引 11"/>
    <w:basedOn w:val="729"/>
    <w:next w:val="729"/>
    <w:uiPriority w:val="0"/>
    <w:semiHidden/>
    <w:qFormat/>
    <w:pPr>
      <w:spacing w:line="240" w:lineRule="atLeast"/>
    </w:pPr>
    <w:rPr>
      <w:rFonts w:ascii="Times New Roman" w:hAnsi="Times New Roman"/>
      <w:b/>
      <w:bCs/>
      <w:szCs w:val="21"/>
    </w:rPr>
  </w:style>
  <w:style w:type="character" w:styleId="1038" w:customStyle="1">
    <w:name w:val="要点1"/>
    <w:uiPriority w:val="0"/>
    <w:qFormat/>
    <w:rPr>
      <w:b/>
      <w:bCs/>
    </w:rPr>
  </w:style>
  <w:style w:type="character" w:styleId="1039" w:customStyle="1">
    <w:name w:val="访问过的超链接1"/>
    <w:uiPriority w:val="0"/>
    <w:qFormat/>
    <w:rPr>
      <w:color w:val="800080"/>
      <w:u w:val="single"/>
    </w:rPr>
  </w:style>
  <w:style w:type="character" w:styleId="1040" w:customStyle="1">
    <w:name w:val="批注引用1"/>
    <w:uiPriority w:val="0"/>
    <w:semiHidden/>
    <w:qFormat/>
    <w:rPr>
      <w:sz w:val="21"/>
      <w:szCs w:val="21"/>
    </w:rPr>
  </w:style>
  <w:style w:type="character" w:styleId="1041" w:customStyle="1">
    <w:name w:val="font5 Char"/>
    <w:uiPriority w:val="0"/>
    <w:qFormat/>
    <w:rPr>
      <w:rFonts w:ascii="宋体" w:hAnsi="宋体" w:eastAsia="宋体"/>
      <w:sz w:val="28"/>
      <w:szCs w:val="28"/>
      <w:lang w:val="en-US" w:eastAsia="zh-CN" w:bidi="ar-SA"/>
    </w:rPr>
  </w:style>
  <w:style w:type="character" w:styleId="1042" w:customStyle="1">
    <w:name w:val="二级目录 Char"/>
    <w:link w:val="1043"/>
    <w:uiPriority w:val="0"/>
    <w:qFormat/>
    <w:rPr>
      <w:rFonts w:ascii="Calibri" w:hAnsi="Calibri"/>
      <w:b/>
      <w:sz w:val="30"/>
      <w:szCs w:val="28"/>
    </w:rPr>
  </w:style>
  <w:style w:type="paragraph" w:styleId="1043" w:customStyle="1">
    <w:name w:val="二级目录"/>
    <w:next w:val="729"/>
    <w:link w:val="1042"/>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44" w:customStyle="1">
    <w:name w:val="列出段落 Char"/>
    <w:link w:val="996"/>
    <w:uiPriority w:val="0"/>
    <w:qFormat/>
    <w:rPr>
      <w:rFonts w:ascii="Calibri" w:hAnsi="Calibri"/>
      <w:sz w:val="21"/>
      <w:szCs w:val="24"/>
    </w:rPr>
  </w:style>
  <w:style w:type="paragraph" w:styleId="1045" w:customStyle="1">
    <w:name w:val="Body Text(ch)"/>
    <w:basedOn w:val="729"/>
    <w:next w:val="950"/>
    <w:uiPriority w:val="0"/>
    <w:qFormat/>
    <w:pPr>
      <w:spacing w:after="120"/>
    </w:pPr>
    <w:rPr>
      <w:rFonts w:ascii="宋体" w:hAnsi="Arial"/>
      <w:bCs/>
      <w:iCs/>
      <w:szCs w:val="24"/>
    </w:rPr>
  </w:style>
  <w:style w:type="paragraph" w:styleId="1046" w:customStyle="1">
    <w:name w:val="xl2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xl2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customStyle="1">
    <w:name w:val="Char"/>
    <w:basedOn w:val="729"/>
    <w:uiPriority w:val="0"/>
    <w:qFormat/>
    <w:pPr>
      <w:ind w:firstLine="200"/>
      <w:tabs>
        <w:tab w:val="left" w:pos="360" w:leader="none"/>
      </w:tabs>
    </w:pPr>
    <w:rPr>
      <w:rFonts w:ascii="Times New Roman" w:hAnsi="Times New Roman"/>
      <w:sz w:val="28"/>
      <w:szCs w:val="30"/>
    </w:rPr>
  </w:style>
  <w:style w:type="paragraph" w:styleId="1049" w:customStyle="1">
    <w:name w:val="table_lines"/>
    <w:basedOn w:val="729"/>
    <w:uiPriority w:val="0"/>
    <w:qFormat/>
    <w:pPr>
      <w:jc w:val="left"/>
      <w:widowControl/>
    </w:pPr>
    <w:rPr>
      <w:rFonts w:ascii="Times New Roman" w:hAnsi="Times New Roman"/>
      <w:sz w:val="20"/>
      <w:szCs w:val="20"/>
      <w:lang w:val="de-DE" w:eastAsia="de-DE"/>
    </w:rPr>
  </w:style>
  <w:style w:type="paragraph" w:styleId="1050"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paragraph" w:styleId="1051" w:customStyle="1">
    <w:name w:val="font7"/>
    <w:basedOn w:val="729"/>
    <w:uiPriority w:val="0"/>
    <w:qFormat/>
    <w:pPr>
      <w:jc w:val="left"/>
      <w:spacing w:before="100" w:beforeAutospacing="1" w:after="100" w:afterAutospacing="1"/>
      <w:widowControl/>
    </w:pPr>
    <w:rPr>
      <w:rFonts w:hint="eastAsia" w:ascii="宋体" w:hAnsi="宋体"/>
      <w:sz w:val="18"/>
      <w:szCs w:val="18"/>
    </w:rPr>
  </w:style>
  <w:style w:type="paragraph" w:styleId="1052" w:customStyle="1">
    <w:name w:val="Char Char Char Char"/>
    <w:basedOn w:val="1015"/>
    <w:uiPriority w:val="0"/>
    <w:qFormat/>
    <w:pPr>
      <w:spacing w:line="360" w:lineRule="auto"/>
    </w:pPr>
    <w:rPr>
      <w:rFonts w:ascii="Tahoma" w:hAnsi="Tahoma"/>
      <w:sz w:val="24"/>
      <w:szCs w:val="24"/>
    </w:rPr>
  </w:style>
  <w:style w:type="paragraph" w:styleId="1053" w:customStyle="1">
    <w:name w:val="列出段落2"/>
    <w:basedOn w:val="729"/>
    <w:uiPriority w:val="0"/>
    <w:qFormat/>
    <w:pPr>
      <w:contextualSpacing/>
      <w:ind w:left="720"/>
      <w:jc w:val="left"/>
      <w:widowControl/>
    </w:pPr>
    <w:rPr>
      <w:sz w:val="24"/>
      <w:szCs w:val="24"/>
      <w:lang w:eastAsia="en-US" w:bidi="en-US"/>
    </w:rPr>
  </w:style>
  <w:style w:type="paragraph" w:styleId="1054" w:customStyle="1">
    <w:name w:val="4"/>
    <w:basedOn w:val="729"/>
    <w:next w:val="1031"/>
    <w:uiPriority w:val="0"/>
    <w:qFormat/>
    <w:pPr>
      <w:ind w:firstLine="420"/>
      <w:spacing w:line="360" w:lineRule="auto"/>
    </w:pPr>
    <w:rPr>
      <w:rFonts w:ascii="Times New Roman" w:hAnsi="Times New Roman"/>
      <w:color w:val="ff0000"/>
      <w:sz w:val="24"/>
      <w:szCs w:val="24"/>
    </w:rPr>
  </w:style>
  <w:style w:type="paragraph" w:styleId="1055" w:customStyle="1">
    <w:name w:val="普通 (Web)"/>
    <w:basedOn w:val="729"/>
    <w:uiPriority w:val="0"/>
    <w:qFormat/>
    <w:pPr>
      <w:jc w:val="left"/>
      <w:spacing w:before="100" w:beforeAutospacing="1" w:after="100" w:afterAutospacing="1"/>
      <w:widowControl/>
    </w:pPr>
    <w:rPr>
      <w:rFonts w:ascii="宋体" w:hAnsi="宋体"/>
      <w:sz w:val="24"/>
      <w:szCs w:val="24"/>
    </w:rPr>
  </w:style>
  <w:style w:type="paragraph" w:styleId="1056" w:customStyle="1">
    <w:name w:val="Char Char Char Char Char Char Char Char Char Char"/>
    <w:basedOn w:val="729"/>
    <w:uiPriority w:val="0"/>
    <w:qFormat/>
    <w:pPr>
      <w:spacing w:line="360" w:lineRule="auto"/>
    </w:pPr>
    <w:rPr>
      <w:rFonts w:ascii="Times New Roman" w:hAnsi="Times New Roman"/>
      <w:sz w:val="24"/>
      <w:szCs w:val="20"/>
    </w:rPr>
  </w:style>
  <w:style w:type="paragraph" w:styleId="1057" w:customStyle="1">
    <w:name w:val="样式1"/>
    <w:basedOn w:val="729"/>
    <w:uiPriority w:val="0"/>
    <w:qFormat/>
    <w:pPr>
      <w:ind w:left="709" w:hanging="709"/>
      <w:tabs>
        <w:tab w:val="left" w:pos="709" w:leader="none"/>
      </w:tabs>
    </w:pPr>
    <w:rPr>
      <w:rFonts w:ascii="宋体" w:hAnsi="宋体"/>
      <w:szCs w:val="21"/>
    </w:rPr>
  </w:style>
  <w:style w:type="paragraph" w:styleId="1058" w:customStyle="1">
    <w:name w:val="font6"/>
    <w:basedOn w:val="729"/>
    <w:uiPriority w:val="0"/>
    <w:qFormat/>
    <w:pPr>
      <w:jc w:val="left"/>
      <w:spacing w:before="100" w:beforeAutospacing="1" w:after="100" w:afterAutospacing="1"/>
      <w:widowControl/>
    </w:pPr>
    <w:rPr>
      <w:rFonts w:hint="eastAsia" w:ascii="宋体" w:hAnsi="宋体"/>
      <w:sz w:val="28"/>
      <w:szCs w:val="28"/>
      <w:u w:val="single"/>
    </w:rPr>
  </w:style>
  <w:style w:type="paragraph" w:styleId="1059" w:customStyle="1">
    <w:name w:val="xl25"/>
    <w:basedOn w:val="7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customStyle="1">
    <w:name w:val="图标"/>
    <w:basedOn w:val="729"/>
    <w:next w:val="72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1" w:customStyle="1">
    <w:name w:val="标题3"/>
    <w:basedOn w:val="729"/>
    <w:next w:val="729"/>
    <w:uiPriority w:val="0"/>
    <w:qFormat/>
    <w:pPr>
      <w:ind w:firstLine="624"/>
      <w:spacing w:line="590" w:lineRule="atLeast"/>
    </w:pPr>
    <w:rPr>
      <w:rFonts w:ascii="方正黑体_GBK" w:hAnsi="Times New Roman" w:eastAsia="方正黑体_GBK"/>
      <w:sz w:val="32"/>
      <w:szCs w:val="32"/>
    </w:rPr>
  </w:style>
  <w:style w:type="paragraph" w:styleId="1062" w:customStyle="1">
    <w:name w:val="xl24"/>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xl29"/>
    <w:basedOn w:val="72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customStyle="1">
    <w:name w:val="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65"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customStyle="1">
    <w:name w:val="xl30"/>
    <w:basedOn w:val="729"/>
    <w:uiPriority w:val="0"/>
    <w:qFormat/>
    <w:pPr>
      <w:jc w:val="center"/>
      <w:spacing w:before="100" w:beforeAutospacing="1" w:after="100" w:afterAutospacing="1"/>
      <w:widowControl/>
    </w:pPr>
    <w:rPr>
      <w:rFonts w:ascii="宋体" w:hAnsi="宋体"/>
      <w:b/>
      <w:bCs/>
      <w:sz w:val="36"/>
      <w:szCs w:val="36"/>
    </w:rPr>
  </w:style>
  <w:style w:type="paragraph" w:styleId="1067" w:customStyle="1">
    <w:name w:val="table_1stline"/>
    <w:basedOn w:val="729"/>
    <w:uiPriority w:val="0"/>
    <w:qFormat/>
    <w:pPr>
      <w:jc w:val="left"/>
      <w:spacing w:before="120"/>
      <w:widowControl/>
    </w:pPr>
    <w:rPr>
      <w:rFonts w:ascii="Times New Roman" w:hAnsi="Times New Roman"/>
      <w:bCs/>
      <w:sz w:val="20"/>
      <w:szCs w:val="20"/>
      <w:lang w:val="de-DE" w:eastAsia="de-DE"/>
    </w:rPr>
  </w:style>
  <w:style w:type="paragraph" w:styleId="1068" w:customStyle="1">
    <w:name w:val="font5"/>
    <w:basedOn w:val="729"/>
    <w:uiPriority w:val="0"/>
    <w:qFormat/>
    <w:pPr>
      <w:jc w:val="left"/>
      <w:spacing w:before="100" w:beforeAutospacing="1" w:after="100" w:afterAutospacing="1"/>
      <w:widowControl/>
    </w:pPr>
    <w:rPr>
      <w:rFonts w:hint="eastAsia" w:ascii="宋体" w:hAnsi="宋体"/>
      <w:sz w:val="28"/>
      <w:szCs w:val="28"/>
    </w:rPr>
  </w:style>
  <w:style w:type="paragraph" w:styleId="1069" w:customStyle="1">
    <w:name w:val="标题1"/>
    <w:basedOn w:val="729"/>
    <w:next w:val="72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0" w:customStyle="1">
    <w:name w:val="修订1"/>
    <w:uiPriority w:val="99"/>
    <w:semiHidden/>
    <w:qFormat/>
    <w:rPr>
      <w:rFonts w:ascii="Times New Roman" w:hAnsi="Times New Roman" w:eastAsia="宋体" w:cs="Times New Roman"/>
      <w:sz w:val="21"/>
      <w:szCs w:val="21"/>
      <w:lang w:val="en-US" w:eastAsia="zh-CN" w:bidi="ar-SA"/>
    </w:rPr>
  </w:style>
  <w:style w:type="paragraph" w:styleId="1071" w:customStyle="1">
    <w:name w:val="寄信人地址1"/>
    <w:basedOn w:val="729"/>
    <w:uiPriority w:val="0"/>
    <w:unhideWhenUsed/>
    <w:qFormat/>
    <w:pPr>
      <w:jc w:val="left"/>
      <w:widowControl/>
    </w:pPr>
    <w:rPr>
      <w:rFonts w:ascii="Arial" w:hAnsi="Arial" w:eastAsia="Arial" w:cs="Arial"/>
      <w:color w:val="000000"/>
      <w:szCs w:val="21"/>
      <w:lang w:eastAsia="en-US"/>
    </w:rPr>
  </w:style>
  <w:style w:type="character" w:styleId="1072" w:customStyle="1">
    <w:name w:val="强调1"/>
    <w:uiPriority w:val="20"/>
    <w:qFormat/>
    <w:rPr>
      <w:i/>
      <w:iCs/>
    </w:rPr>
  </w:style>
  <w:style w:type="paragraph" w:styleId="1073" w:customStyle="1">
    <w:name w:val="Table Text"/>
    <w:basedOn w:val="729"/>
    <w:uiPriority w:val="0"/>
    <w:semiHidden/>
    <w:qFormat/>
    <w:pPr>
      <w:jc w:val="left"/>
      <w:widowControl/>
    </w:pPr>
    <w:rPr>
      <w:rFonts w:ascii="宋体" w:hAnsi="宋体" w:cs="宋体"/>
      <w:color w:val="000000"/>
      <w:szCs w:val="21"/>
      <w:lang w:eastAsia="en-US"/>
    </w:rPr>
  </w:style>
  <w:style w:type="character" w:styleId="1074" w:customStyle="1">
    <w:name w:val="font21"/>
    <w:uiPriority w:val="0"/>
    <w:qFormat/>
    <w:rPr>
      <w:rFonts w:hint="eastAsia" w:ascii="微软雅黑" w:hAnsi="微软雅黑" w:eastAsia="微软雅黑" w:cs="微软雅黑"/>
      <w:color w:val="000000"/>
      <w:sz w:val="18"/>
      <w:szCs w:val="18"/>
      <w:u w:val="none"/>
    </w:rPr>
  </w:style>
  <w:style w:type="paragraph" w:styleId="1075" w:customStyle="1">
    <w:name w:val="首行缩进"/>
    <w:basedOn w:val="729"/>
    <w:uiPriority w:val="0"/>
    <w:qFormat/>
    <w:pPr>
      <w:ind w:firstLine="480"/>
      <w:jc w:val="left"/>
      <w:widowControl/>
    </w:pPr>
    <w:rPr>
      <w:rFonts w:ascii="Arial" w:hAnsi="Arial" w:eastAsia="Arial" w:cs="Arial"/>
      <w:color w:val="000000"/>
      <w:szCs w:val="20"/>
      <w:lang w:val="zh-CN" w:eastAsia="en-US"/>
    </w:rPr>
  </w:style>
  <w:style w:type="table" w:styleId="107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95" w:customStyle="1">
    <w:name w:val="Char1"/>
    <w:basedOn w:val="1015"/>
    <w:uiPriority w:val="0"/>
    <w:qFormat/>
    <w:rPr>
      <w:rFonts w:ascii="Tahoma" w:hAnsi="Tahoma"/>
      <w:sz w:val="24"/>
      <w:szCs w:val="24"/>
    </w:rPr>
  </w:style>
  <w:style w:type="paragraph" w:styleId="1096" w:customStyle="1">
    <w:name w:val="Char Char Char Char Char Char Char Char1"/>
    <w:basedOn w:val="729"/>
    <w:uiPriority w:val="0"/>
    <w:qFormat/>
    <w:pPr>
      <w:jc w:val="left"/>
      <w:spacing w:after="160" w:line="240" w:lineRule="exact"/>
      <w:widowControl/>
    </w:pPr>
    <w:rPr>
      <w:rFonts w:ascii="Verdana" w:hAnsi="Verdana"/>
      <w:sz w:val="20"/>
      <w:szCs w:val="20"/>
      <w:lang w:eastAsia="en-US"/>
    </w:rPr>
  </w:style>
  <w:style w:type="paragraph" w:styleId="1097" w:customStyle="1">
    <w:name w:val="Char Char Char Char1"/>
    <w:basedOn w:val="1015"/>
    <w:uiPriority w:val="0"/>
    <w:qFormat/>
    <w:pPr>
      <w:spacing w:line="360" w:lineRule="auto"/>
    </w:pPr>
    <w:rPr>
      <w:rFonts w:ascii="Tahoma" w:hAnsi="Tahoma"/>
      <w:sz w:val="24"/>
      <w:szCs w:val="24"/>
    </w:rPr>
  </w:style>
  <w:style w:type="character" w:styleId="1098" w:customStyle="1">
    <w:name w:val="正文文本缩进 Char1"/>
    <w:basedOn w:val="739"/>
    <w:link w:val="746"/>
    <w:uiPriority w:val="99"/>
    <w:qFormat/>
    <w:rPr>
      <w:rFonts w:asciiTheme="minorHAnsi" w:hAnsiTheme="minorHAnsi" w:eastAsiaTheme="minorEastAsia" w:cstheme="minorBidi"/>
      <w:sz w:val="21"/>
      <w:szCs w:val="24"/>
    </w:rPr>
  </w:style>
  <w:style w:type="paragraph" w:styleId="1099" w:customStyle="1">
    <w:name w:val="标题 211"/>
    <w:basedOn w:val="729"/>
    <w:next w:val="729"/>
    <w:uiPriority w:val="0"/>
    <w:qFormat/>
    <w:pPr>
      <w:keepLines/>
      <w:keepNext/>
      <w:spacing w:before="260" w:after="260" w:line="416" w:lineRule="auto"/>
      <w:outlineLvl w:val="1"/>
    </w:pPr>
    <w:rPr>
      <w:rFonts w:ascii="Arial" w:hAnsi="Arial" w:eastAsia="黑体" w:cstheme="minorBidi"/>
      <w:b/>
      <w:bCs/>
      <w:sz w:val="32"/>
      <w:szCs w:val="32"/>
    </w:rPr>
  </w:style>
  <w:style w:type="paragraph" w:styleId="1100" w:customStyle="1">
    <w:name w:val="列表段落"/>
    <w:basedOn w:val="729"/>
    <w:uiPriority w:val="34"/>
    <w:qFormat/>
    <w:pPr>
      <w:ind w:firstLine="420"/>
    </w:pPr>
    <w:rPr>
      <w:rFonts w:asciiTheme="minorHAnsi" w:hAnsiTheme="minorHAnsi" w:eastAsiaTheme="minorEastAsia" w:cstheme="minorBidi"/>
      <w:szCs w:val="24"/>
    </w:rPr>
  </w:style>
  <w:style w:type="character" w:styleId="1101" w:customStyle="1">
    <w:name w:val="font11"/>
    <w:basedOn w:val="739"/>
    <w:uiPriority w:val="0"/>
    <w:qFormat/>
    <w:rPr>
      <w:rFonts w:hint="eastAsia" w:ascii="宋体" w:hAnsi="宋体" w:eastAsia="宋体" w:cs="宋体"/>
      <w:color w:val="000000"/>
      <w:sz w:val="22"/>
      <w:szCs w:val="22"/>
      <w:u w:val="none"/>
    </w:rPr>
  </w:style>
  <w:style w:type="paragraph" w:styleId="1102" w:customStyle="1">
    <w:name w:val="_Style 3"/>
    <w:basedOn w:val="729"/>
    <w:uiPriority w:val="0"/>
    <w:qFormat/>
    <w:rPr>
      <w:szCs w:val="21"/>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367FF0-BEBE-47E5-9F77-D839AC6E6DC4}"/>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张磊</cp:lastModifiedBy>
  <cp:revision>518</cp:revision>
  <dcterms:created xsi:type="dcterms:W3CDTF">2023-12-18T09:23:00Z</dcterms:created>
  <dcterms:modified xsi:type="dcterms:W3CDTF">2025-12-29T04:35:14Z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7416E0D5F1E4478BA809CFC7356C07B6_13</vt:lpwstr>
  </property>
  <property fmtid="{D5CDD505-2E9C-101B-9397-08002B2CF9AE}" pid="4" name="KSOTemplateDocerSaveRecord">
    <vt:lpwstr>eyJoZGlkIjoiODY4MjA0YmY5OTU2NDY4MmM0YThmZGUxZjM5ODFlOWIiLCJ1c2VySWQiOiI0NDUzMjQyOTYifQ==</vt:lpwstr>
  </property>
</Properties>
</file>